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3E15">
      <w:pPr>
        <w:spacing w:after="0"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Hlk21979992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01C4F1B">
      <w:pPr>
        <w:spacing w:after="0" w:line="240" w:lineRule="auto"/>
        <w:jc w:val="left"/>
        <w:rPr>
          <w:rFonts w:hint="eastAsia" w:ascii="黑体" w:hAnsi="黑体" w:eastAsia="黑体" w:cs="黑体"/>
          <w:sz w:val="32"/>
          <w:szCs w:val="32"/>
          <w:lang w:val="en" w:eastAsia="zh-CN"/>
        </w:rPr>
      </w:pPr>
    </w:p>
    <w:p w14:paraId="35E3627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专家库专业方向划分规范</w:t>
      </w:r>
      <w:bookmarkEnd w:id="1"/>
    </w:p>
    <w:p w14:paraId="1F821B3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</w:p>
    <w:bookmarkEnd w:id="0"/>
    <w:p w14:paraId="3137C52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 xml:space="preserve">专家库主要涵盖国土空间规划、土地资源管理、自然资源调查监测、地质勘查与矿产资源管理、生态保护修复、测绘地理信息、地质灾害防治、自然资源监管、自然资源法治与政策研究、综合管理与支撑保障等十大类别，且每个大类包含多个专业方向。 </w:t>
      </w:r>
    </w:p>
    <w:p w14:paraId="4FCD055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（一）国土空间规划类：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包含区域经济、政策法规、生态保护、农业农村、交通运输、水利水保、城乡规划、土地利用规划、信息技术、建筑学、历史文化、文物保护、市政工程、风景园林、旅游管理等领域。</w:t>
      </w:r>
    </w:p>
    <w:p w14:paraId="626CA79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（二）土地资源管理类：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涉及全域土地整治、土地征收与储备、土地供应与开发利用、节约集约用地评价、土地政策法规等方面。</w:t>
      </w:r>
    </w:p>
    <w:p w14:paraId="4E2ED36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（三）自然资源调查监测类：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涵盖耕地资源调查、森林资源调查、草原资源调查、湿地资源调查、水资源调查、地下资源调查、地表基质调查，以及其他相关专项调查（如城乡建设用地和城镇设施用地、野生动物、生物多样性、水土流失以及荒漠化和沙化石漠化等情况的调查）。</w:t>
      </w:r>
    </w:p>
    <w:p w14:paraId="00492B1B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（四）地质勘查与矿产资源管理类：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包括地质矿产勘查（含区域地质、矿产地质、水文地质、工程地质、环境地质、矿业经济）、矿产资源储量评估与管理、矿产资源勘查开发监督管理、矿业权出让收益评估（包含矿业权出让底价评估和矿业权协议出让价格评估）、绿色矿山建设、矿山地质环境恢复治理、矿政法规政策、古生物化石保护管理等内容。</w:t>
      </w:r>
    </w:p>
    <w:p w14:paraId="57C35FA7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（五）生态保护修复类：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涉及地质环境治理、土地综合整治、水生态修复、林草湿生态修复、生物多样性保护、土壤学、生态学、农业资源与环境、环境科学与工程等领域。</w:t>
      </w:r>
    </w:p>
    <w:p w14:paraId="3C0A8F74">
      <w:pPr>
        <w:spacing w:line="580" w:lineRule="exact"/>
        <w:ind w:firstLine="640" w:firstLineChars="200"/>
        <w:rPr>
          <w:rFonts w:hint="eastAsia" w:ascii="华文仿宋" w:hAnsi="华文仿宋" w:eastAsia="仿宋_GB2312" w:cs="华文仿宋"/>
          <w:spacing w:val="0"/>
          <w:sz w:val="32"/>
          <w:szCs w:val="32"/>
          <w:lang w:val="en" w:eastAsia="zh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（六）测绘地理信息类：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包含大地测量、摄影测量与遥感、工程测量、地籍测绘、地图编制、地理信息系统开发与应用、时空大数据分析、实景三维建设、新型基础测绘、自然资源确权登记等方面</w:t>
      </w:r>
      <w:r>
        <w:rPr>
          <w:rFonts w:hint="eastAsia" w:ascii="仿宋_GB2312" w:hAnsi="仿宋_GB2312" w:cs="仿宋_GB2312"/>
          <w:spacing w:val="0"/>
          <w:sz w:val="32"/>
          <w:szCs w:val="32"/>
          <w:lang w:val="en" w:eastAsia="zh"/>
        </w:rPr>
        <w:t>。</w:t>
      </w:r>
    </w:p>
    <w:p w14:paraId="1939F126">
      <w:pPr>
        <w:spacing w:line="580" w:lineRule="exact"/>
        <w:ind w:firstLine="640" w:firstLineChars="200"/>
        <w:rPr>
          <w:rFonts w:hint="eastAsia" w:ascii="华文仿宋" w:hAnsi="华文仿宋" w:eastAsia="华文仿宋" w:cs="华文仿宋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（七）地质灾害防治类：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涉及调查评价与评估、监测预警、综合治理、避险搬迁、城市地质安全、综合遥感与信息化、经济预算等工作。</w:t>
      </w:r>
    </w:p>
    <w:p w14:paraId="476F2D3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（八）自然资源监管类：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涵盖自然资源资产核算与评价、自然资源有偿使用制度、自然资源市场交易规则、自然资源督察执法、自然资源开发利用技术评价、自然资源领域信用体系建设等内容。</w:t>
      </w:r>
    </w:p>
    <w:p w14:paraId="78FF915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（九）自然资源法治与政策研究类：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涉及自然资源法律法规（如土地、矿产、规划、测绘、生态保护等方面的法规）、行政复议与诉讼、重大政策研究制定、自然资源管理体制改革、自然资源领域重大理论与实践问题研究、自然资源经济、国际比较研究等领域。</w:t>
      </w:r>
    </w:p>
    <w:p w14:paraId="236A9CE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"/>
        </w:rPr>
        <w:t>（十）综合管理与支撑保障类：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包括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公共行政管理（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战略管理、政策研究、制度流程建设），机关事务管理（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会务管理、文书档案管理、后勤保障、接待与外事工作），绩效管理（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绩效指标体系建设、绩效监控与评估），人事管理（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人力资源管理、机构编制管理、干部选拔任用、绩效考核、薪酬福利），党建与纪检监察，经济预算，财务与审计（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政府会计、预算管理、国有资产管理、政府采购、内部审计、绩效审计），信息化建设（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政务信息化规划与建设、网络安全、大数据管理、人工智能应用），宣传教育（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新闻宣传、舆情应对、教育培训、科普工作），信访与安全保密（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信访工作规程、安全保密管理），标准化（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自然资源领域标准制定与管理），科技项目及人才（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自然资源科技项目和人才奖励申报）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等方面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 xml:space="preserve"> </w:t>
      </w:r>
    </w:p>
    <w:p w14:paraId="0D2C027A"/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701" w:right="1587" w:bottom="1440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842F5">
    <w:pPr>
      <w:pStyle w:val="2"/>
      <w:wordWrap w:val="0"/>
      <w:spacing w:line="440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768018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768018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DC2C6">
    <w:pPr>
      <w:pStyle w:val="2"/>
      <w:spacing w:after="528" w:afterLines="220" w:line="432" w:lineRule="auto"/>
      <w:ind w:firstLine="402" w:firstLineChars="150"/>
      <w:rPr>
        <w:rStyle w:val="6"/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AA8AB">
    <w:pPr>
      <w:pStyle w:val="2"/>
      <w:spacing w:after="120" w:afterLines="50" w:line="160" w:lineRule="exact"/>
    </w:pPr>
    <w:r>
      <w:rPr>
        <w:rFonts w:ascii="宋体" w:hAnsi="宋体" w:eastAsia="宋体" w:cs="宋体"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-186055</wp:posOffset>
              </wp:positionV>
              <wp:extent cx="5760720" cy="63500"/>
              <wp:effectExtent l="0" t="0" r="0" b="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5760720" cy="63500"/>
                        <a:chOff x="10622" y="15589"/>
                        <a:chExt cx="0" cy="96"/>
                      </a:xfrm>
                    </wpg:grpSpPr>
                    <wps:wsp>
                      <wps:cNvPr id="2" name="直接连接符 2"/>
                      <wps:cNvSpPr/>
                      <wps:spPr>
                        <a:xfrm>
                          <a:off x="10622" y="15685"/>
                          <a:ext cx="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接连接符 3"/>
                      <wps:cNvSpPr/>
                      <wps:spPr>
                        <a:xfrm>
                          <a:off x="10622" y="15589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;margin-left:-5.35pt;margin-top:-14.65pt;height:5pt;width:453.6pt;z-index:251659264;mso-width-relative:page;mso-height-relative:page;" coordorigin="10622,15589" coordsize="-9374,96" o:gfxdata="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NpRcdkAAAALAQAADwAAAAAAAAABACAAAAAiAAAAZHJzL2Rvd25yZXYueG1sUEsBAhQAFAAAAAgA&#10;h07iQHjs3dGWAgAAJgcAAA4AAAAAAAAAAQAgAAAAKAEAAGRycy9lMm9Eb2MueG1sUEsFBgAAAAAG&#10;AAYAWQEAADAGAAAAAA==&#10;">
              <o:lock v:ext="edit" aspectratio="f"/>
              <v:line id="_x0000_s1026" o:spid="_x0000_s1026" o:spt="20" style="position:absolute;left:10622;top:15685;height:0;width:0;" filled="f" stroked="t" coordsize="21600,21600" o:gfxdata="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M/Hu8AAAA&#10;2gAAAA8AAAAAAAAAAQAgAAAAIgAAAGRycy9kb3ducmV2LnhtbFBLAQIUABQAAAAIAIdO4kAzLwWe&#10;OwAAADkAAAAQAAAAAAAAAAEAIAAAAAsBAABkcnMvc2hhcGV4bWwueG1sUEsFBgAAAAAGAAYAWwEA&#10;ALUDAAAAAA==&#10;">
                <v:fill on="f" focussize="0,0"/>
                <v:stroke weight="3.5pt" color="#FF0000" joinstyle="round"/>
                <v:imagedata o:title=""/>
                <o:lock v:ext="edit" aspectratio="f"/>
              </v:line>
              <v:line id="_x0000_s1026" o:spid="_x0000_s1026" o:spt="20" style="position:absolute;left:10622;top:15589;height:0;width:0;" filled="f" stroked="t" coordsize="21600,21600" o:gfxdata="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j+lr4A&#10;AADaAAAADwAAAAAAAAABACAAAAAiAAAAZHJzL2Rvd25yZXYueG1sUEsBAhQAFAAAAAgAh07iQDMv&#10;BZ47AAAAOQAAABAAAAAAAAAAAQAgAAAADQEAAGRycy9zaGFwZXhtbC54bWxQSwUGAAAAAAYABgBb&#10;AQAAtwMAAAAA&#10;">
                <v:fill on="f" focussize="0,0"/>
                <v:stroke weight="1pt" color="#FF0000" joinstyle="round"/>
                <v:imagedata o:title=""/>
                <o:lock v:ext="edit" aspectratio="f"/>
              </v:line>
            </v:group>
          </w:pict>
        </mc:Fallback>
      </mc:AlternateContent>
    </w:r>
  </w:p>
  <w:p w14:paraId="3E386BD2">
    <w:pPr>
      <w:pStyle w:val="2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D91B6">
    <w:pPr>
      <w:pStyle w:val="3"/>
      <w:spacing w:line="280" w:lineRule="atLeast"/>
    </w:pPr>
  </w:p>
  <w:p w14:paraId="7223916F">
    <w:pPr>
      <w:pStyle w:val="3"/>
      <w:spacing w:line="280" w:lineRule="atLeast"/>
    </w:pPr>
  </w:p>
  <w:p w14:paraId="52D6270C">
    <w:pPr>
      <w:pStyle w:val="3"/>
      <w:spacing w:line="280" w:lineRule="atLeas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13F94">
    <w:pPr>
      <w:pStyle w:val="3"/>
      <w:spacing w:line="280" w:lineRule="atLeast"/>
    </w:pPr>
  </w:p>
  <w:p w14:paraId="32D8277D">
    <w:pPr>
      <w:pStyle w:val="3"/>
      <w:spacing w:line="280" w:lineRule="atLeast"/>
    </w:pPr>
  </w:p>
  <w:p w14:paraId="1EA2AB1C">
    <w:pPr>
      <w:pStyle w:val="3"/>
      <w:spacing w:line="280" w:lineRule="atLeast"/>
      <w:rPr>
        <w:rFonts w:hint="eastAsia"/>
      </w:rPr>
    </w:pPr>
  </w:p>
  <w:p w14:paraId="586C18F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32C55"/>
    <w:rsid w:val="318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2026-01-23T01:37:00Z</dcterms:created>
  <dc:creator>杨卫</dc:creator>
  <cp:lastModifiedBy>杨卫</cp:lastModifiedBy>
  <dcterms:modified xsi:type="dcterms:W3CDTF">2026-01-23T01:38:00Z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165B0AA99C5E406FBB123F933ADBBF04_11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