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3EB2E">
      <w:pPr>
        <w:keepNext w:val="0"/>
        <w:keepLines w:val="0"/>
        <w:widowControl w:val="0"/>
        <w:suppressLineNumbers w:val="0"/>
        <w:spacing w:beforeAutospacing="0" w:after="0" w:afterAutospacing="0" w:line="600" w:lineRule="exact"/>
        <w:ind w:left="0" w:right="0" w:firstLine="640"/>
        <w:jc w:val="both"/>
        <w:rPr>
          <w:rFonts w:hint="eastAsia" w:ascii="仿宋_GB2312" w:hAnsi="Times New Roman" w:eastAsia="仿宋_GB2312" w:cs="仿宋_GB2312"/>
          <w:color w:val="000000"/>
          <w:spacing w:val="0"/>
          <w:kern w:val="2"/>
          <w:sz w:val="32"/>
          <w:szCs w:val="32"/>
          <w:lang w:val="en-US" w:eastAsia="zh-CN" w:bidi="ar"/>
        </w:rPr>
      </w:pPr>
    </w:p>
    <w:p w14:paraId="038001D4">
      <w:pPr>
        <w:keepNext w:val="0"/>
        <w:keepLines w:val="0"/>
        <w:widowControl w:val="0"/>
        <w:suppressLineNumbers w:val="0"/>
        <w:spacing w:before="0" w:beforeAutospacing="0" w:after="0" w:afterAutospacing="0" w:line="600" w:lineRule="exact"/>
        <w:ind w:left="0" w:leftChars="0" w:right="0" w:firstLine="0" w:firstLineChars="0"/>
        <w:jc w:val="left"/>
        <w:rPr>
          <w:rFonts w:hint="eastAsia" w:ascii="黑体" w:hAnsi="宋体" w:eastAsia="黑体" w:cs="黑体"/>
          <w:color w:val="000000"/>
          <w:spacing w:val="0"/>
          <w:kern w:val="2"/>
          <w:sz w:val="32"/>
          <w:szCs w:val="32"/>
          <w:lang w:val="en-US" w:eastAsia="zh-CN" w:bidi="ar"/>
        </w:rPr>
      </w:pPr>
      <w:r>
        <w:rPr>
          <w:rFonts w:hint="eastAsia" w:ascii="黑体" w:hAnsi="宋体" w:eastAsia="黑体" w:cs="黑体"/>
          <w:color w:val="000000"/>
          <w:spacing w:val="0"/>
          <w:kern w:val="2"/>
          <w:sz w:val="32"/>
          <w:szCs w:val="32"/>
          <w:lang w:val="en-US" w:eastAsia="zh-CN" w:bidi="ar"/>
        </w:rPr>
        <w:t>附件1</w:t>
      </w:r>
    </w:p>
    <w:p w14:paraId="481BEB56">
      <w:pPr>
        <w:keepNext w:val="0"/>
        <w:keepLines w:val="0"/>
        <w:widowControl w:val="0"/>
        <w:suppressLineNumbers w:val="0"/>
        <w:spacing w:before="0" w:beforeAutospacing="0" w:after="0" w:afterAutospacing="0" w:line="600" w:lineRule="exact"/>
        <w:ind w:left="0" w:right="0" w:firstLine="0" w:firstLineChars="0"/>
        <w:jc w:val="left"/>
        <w:rPr>
          <w:rFonts w:hint="eastAsia" w:ascii="黑体" w:hAnsi="宋体" w:eastAsia="黑体" w:cs="黑体"/>
          <w:color w:val="000000"/>
          <w:spacing w:val="0"/>
          <w:kern w:val="2"/>
          <w:sz w:val="32"/>
          <w:szCs w:val="32"/>
          <w:lang w:val="en-US" w:eastAsia="zh-CN" w:bidi="ar"/>
        </w:rPr>
      </w:pPr>
    </w:p>
    <w:p w14:paraId="0C0B41D4">
      <w:pPr>
        <w:keepNext w:val="0"/>
        <w:keepLines w:val="0"/>
        <w:widowControl w:val="0"/>
        <w:suppressLineNumbers w:val="0"/>
        <w:spacing w:before="0" w:beforeAutospacing="0" w:after="0" w:afterAutospacing="0" w:line="600" w:lineRule="exact"/>
        <w:ind w:left="0" w:right="0" w:firstLine="0" w:firstLineChars="0"/>
        <w:jc w:val="center"/>
        <w:rPr>
          <w:rFonts w:hint="default" w:ascii="Times New Roman" w:hAnsi="Times New Roman" w:eastAsia="方正小标宋_GBK" w:cs="Times New Roman"/>
          <w:color w:val="000000"/>
          <w:spacing w:val="0"/>
          <w:kern w:val="2"/>
          <w:sz w:val="21"/>
          <w:szCs w:val="21"/>
        </w:rPr>
      </w:pPr>
      <w:bookmarkStart w:id="0" w:name="_GoBack"/>
      <w:r>
        <w:rPr>
          <w:rFonts w:hint="eastAsia" w:ascii="方正小标宋_GBK" w:hAnsi="方正小标宋_GBK" w:eastAsia="方正小标宋_GBK" w:cs="方正小标宋_GBK"/>
          <w:color w:val="000000"/>
          <w:spacing w:val="0"/>
          <w:kern w:val="2"/>
          <w:sz w:val="44"/>
          <w:szCs w:val="44"/>
          <w:lang w:val="en-US" w:eastAsia="zh-CN" w:bidi="ar"/>
        </w:rPr>
        <w:t>矿产资源规划调整材料要求与流程</w:t>
      </w:r>
      <w:bookmarkEnd w:id="0"/>
    </w:p>
    <w:p w14:paraId="073C7656">
      <w:pPr>
        <w:keepNext w:val="0"/>
        <w:keepLines w:val="0"/>
        <w:widowControl w:val="0"/>
        <w:suppressLineNumbers w:val="0"/>
        <w:spacing w:before="0" w:beforeAutospacing="0" w:after="0" w:afterAutospacing="0" w:line="600" w:lineRule="exact"/>
        <w:ind w:left="0" w:right="0" w:firstLine="640"/>
        <w:jc w:val="both"/>
        <w:rPr>
          <w:rFonts w:hint="default" w:ascii="Times New Roman" w:hAnsi="Times New Roman" w:eastAsia="黑体" w:cs="Times New Roman"/>
          <w:color w:val="000000"/>
          <w:spacing w:val="0"/>
          <w:kern w:val="2"/>
          <w:sz w:val="32"/>
          <w:szCs w:val="32"/>
        </w:rPr>
      </w:pPr>
      <w:r>
        <w:rPr>
          <w:rFonts w:hint="default" w:ascii="Times New Roman" w:hAnsi="Times New Roman" w:eastAsia="黑体" w:cs="Times New Roman"/>
          <w:color w:val="000000"/>
          <w:spacing w:val="0"/>
          <w:kern w:val="2"/>
          <w:sz w:val="32"/>
          <w:szCs w:val="32"/>
          <w:lang w:val="en-US" w:eastAsia="zh-CN" w:bidi="ar"/>
        </w:rPr>
        <w:t xml:space="preserve"> </w:t>
      </w:r>
    </w:p>
    <w:p w14:paraId="35DB1F33">
      <w:pPr>
        <w:keepNext w:val="0"/>
        <w:keepLines w:val="0"/>
        <w:widowControl w:val="0"/>
        <w:suppressLineNumbers w:val="0"/>
        <w:spacing w:before="0" w:beforeAutospacing="0" w:after="0" w:afterAutospacing="0" w:line="600" w:lineRule="exact"/>
        <w:ind w:left="0" w:right="0" w:firstLine="640"/>
        <w:jc w:val="both"/>
        <w:rPr>
          <w:rFonts w:hint="default" w:ascii="Times New Roman" w:hAnsi="Times New Roman" w:eastAsia="黑体" w:cs="Times New Roman"/>
          <w:color w:val="000000"/>
          <w:spacing w:val="0"/>
          <w:kern w:val="2"/>
          <w:sz w:val="32"/>
          <w:szCs w:val="32"/>
        </w:rPr>
      </w:pPr>
      <w:r>
        <w:rPr>
          <w:rFonts w:hint="eastAsia" w:ascii="黑体" w:hAnsi="宋体" w:eastAsia="黑体" w:cs="黑体"/>
          <w:color w:val="000000"/>
          <w:spacing w:val="0"/>
          <w:kern w:val="2"/>
          <w:sz w:val="32"/>
          <w:szCs w:val="32"/>
          <w:lang w:val="en-US" w:eastAsia="zh-CN" w:bidi="ar"/>
        </w:rPr>
        <w:t>一、规划调整申请材料</w:t>
      </w:r>
    </w:p>
    <w:p w14:paraId="48D6FDA1">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w:t>
      </w:r>
      <w:r>
        <w:rPr>
          <w:rFonts w:hint="eastAsia" w:ascii="仿宋_GB2312" w:hAnsi="Times New Roman" w:eastAsia="仿宋_GB2312" w:cs="仿宋_GB2312"/>
          <w:color w:val="000000"/>
          <w:spacing w:val="-11"/>
          <w:kern w:val="2"/>
          <w:sz w:val="32"/>
          <w:szCs w:val="32"/>
          <w:lang w:val="en-US" w:eastAsia="zh-CN" w:bidi="ar"/>
        </w:rPr>
        <w:t>一）规划编制机关报请上一级部门关于调整规划的请示。</w:t>
      </w:r>
    </w:p>
    <w:p w14:paraId="73AEBF54">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（二）同级人民政府同意规划调整的意见。</w:t>
      </w:r>
    </w:p>
    <w:p w14:paraId="65064515">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（三）矿产资源规划调整方案（含相关图表）。</w:t>
      </w:r>
    </w:p>
    <w:p w14:paraId="43D27202">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（四）规划调整专家论证意见。</w:t>
      </w:r>
    </w:p>
    <w:p w14:paraId="5B7CB18F">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（五）根据要求需开展规划环境影响评价的，补充规划环境影响评价的内容。</w:t>
      </w:r>
    </w:p>
    <w:p w14:paraId="0BED1358">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（六）其他相关材料。</w:t>
      </w:r>
    </w:p>
    <w:p w14:paraId="0A49BAD3">
      <w:pPr>
        <w:keepNext w:val="0"/>
        <w:keepLines w:val="0"/>
        <w:widowControl w:val="0"/>
        <w:suppressLineNumbers w:val="0"/>
        <w:spacing w:before="0" w:beforeAutospacing="0" w:after="0" w:afterAutospacing="0" w:line="600" w:lineRule="exact"/>
        <w:ind w:left="0" w:right="0" w:firstLine="640"/>
        <w:jc w:val="both"/>
        <w:rPr>
          <w:rFonts w:hint="default" w:ascii="Times New Roman" w:hAnsi="Times New Roman" w:eastAsia="黑体" w:cs="Times New Roman"/>
          <w:color w:val="000000"/>
          <w:spacing w:val="0"/>
          <w:kern w:val="2"/>
          <w:sz w:val="32"/>
          <w:szCs w:val="32"/>
        </w:rPr>
      </w:pPr>
      <w:r>
        <w:rPr>
          <w:rFonts w:hint="eastAsia" w:ascii="黑体" w:hAnsi="宋体" w:eastAsia="黑体" w:cs="黑体"/>
          <w:color w:val="000000"/>
          <w:spacing w:val="0"/>
          <w:kern w:val="2"/>
          <w:sz w:val="32"/>
          <w:szCs w:val="32"/>
          <w:lang w:val="en-US" w:eastAsia="zh-CN" w:bidi="ar"/>
        </w:rPr>
        <w:t>二、矿产资源规划调整方案编写大纲</w:t>
      </w:r>
    </w:p>
    <w:p w14:paraId="5866354D">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（由负责规划编制的自然资源主管部门编写）</w:t>
      </w:r>
    </w:p>
    <w:p w14:paraId="57D9A38D">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第一章  规划实施情况</w:t>
      </w:r>
    </w:p>
    <w:p w14:paraId="6D138458">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包括规划编制实施总体情况及下一阶段的实施安排。</w:t>
      </w:r>
    </w:p>
    <w:p w14:paraId="72089BA9">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第二章  规划调整的主要内容及必要性</w:t>
      </w:r>
    </w:p>
    <w:p w14:paraId="169B7372">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包括规划调整的主要内容，规划调整的原因，调整的必要性等。</w:t>
      </w:r>
    </w:p>
    <w:p w14:paraId="4B3EE58D">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第三章  规划调整的可行性</w:t>
      </w:r>
    </w:p>
    <w:p w14:paraId="2A20574F">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对规划调整方案的合理性、合规性、合法性进行论证。</w:t>
      </w:r>
    </w:p>
    <w:p w14:paraId="32DD6B89">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第四章  规划调整结论</w:t>
      </w:r>
    </w:p>
    <w:p w14:paraId="58681C5F">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提出规划调整是否可行的结论。</w:t>
      </w:r>
    </w:p>
    <w:p w14:paraId="360AE601">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第五章  保障措施</w:t>
      </w:r>
    </w:p>
    <w:p w14:paraId="5CD28555">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包括确保规划调整后能够切实发挥规划引导作用的主要措施。</w:t>
      </w:r>
    </w:p>
    <w:p w14:paraId="0D3B8ACB">
      <w:pPr>
        <w:keepNext w:val="0"/>
        <w:keepLines w:val="0"/>
        <w:widowControl w:val="0"/>
        <w:suppressLineNumbers w:val="0"/>
        <w:spacing w:before="0" w:beforeAutospacing="0" w:after="0" w:afterAutospacing="0" w:line="600" w:lineRule="exact"/>
        <w:ind w:left="0" w:right="0" w:firstLine="640"/>
        <w:jc w:val="both"/>
        <w:rPr>
          <w:rFonts w:hint="eastAsia" w:ascii="仿宋" w:hAnsi="仿宋" w:eastAsia="仿宋" w:cs="仿宋"/>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附件（含附图、附表）</w:t>
      </w:r>
    </w:p>
    <w:p w14:paraId="60222E81">
      <w:pPr>
        <w:keepNext w:val="0"/>
        <w:keepLines w:val="0"/>
        <w:widowControl w:val="0"/>
        <w:suppressLineNumbers w:val="0"/>
        <w:spacing w:before="0" w:beforeAutospacing="0" w:after="0" w:afterAutospacing="0" w:line="600" w:lineRule="exact"/>
        <w:ind w:left="0" w:right="0" w:firstLine="640"/>
        <w:jc w:val="both"/>
        <w:rPr>
          <w:rFonts w:hint="default" w:ascii="Times New Roman" w:hAnsi="Times New Roman" w:eastAsia="黑体" w:cs="Times New Roman"/>
          <w:color w:val="000000"/>
          <w:spacing w:val="0"/>
          <w:kern w:val="2"/>
          <w:sz w:val="32"/>
          <w:szCs w:val="32"/>
        </w:rPr>
      </w:pPr>
      <w:r>
        <w:rPr>
          <w:rFonts w:hint="eastAsia" w:ascii="黑体" w:hAnsi="宋体" w:eastAsia="黑体" w:cs="黑体"/>
          <w:color w:val="000000"/>
          <w:spacing w:val="0"/>
          <w:kern w:val="2"/>
          <w:sz w:val="32"/>
          <w:szCs w:val="32"/>
          <w:lang w:val="en-US" w:eastAsia="zh-CN" w:bidi="ar"/>
        </w:rPr>
        <w:t>三、规划调整流程</w:t>
      </w:r>
    </w:p>
    <w:p w14:paraId="10BA53C8">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（一）规划调整上报。规划编制机关提出调整申请，并经同级人民政府同意后通过规划管理系统上报规划调整相关材料，报原规划审批机关批准。</w:t>
      </w:r>
    </w:p>
    <w:p w14:paraId="584A023E">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（二）规划调整审批。规划审批机关对上报的规划调整方案及相关要件进行审查，审查未通过的，退回原规划编制机关修改；审查通过的，出具同意调整的批复。</w:t>
      </w:r>
    </w:p>
    <w:p w14:paraId="15DDB962">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（三）规划调整数据上图入库。规划调整经审批机关同意后，涉及到规划数据库调整的，规划编制机关将调整后的规划数据库通过规划管理系统报原规划审批机关，检查通过后完成上图入库工作。</w:t>
      </w:r>
    </w:p>
    <w:p w14:paraId="359A90F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mI2Y2QwMWY1ZWIxNGY5YjZmYzQ0YzE4ZDIyMjkifQ=="/>
  </w:docVars>
  <w:rsids>
    <w:rsidRoot w:val="61207F70"/>
    <w:rsid w:val="61207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2025-01-10T07:55:00Z</dcterms:created>
  <dc:creator>杨卫</dc:creator>
  <cp:lastModifiedBy>杨卫</cp:lastModifiedBy>
  <dcterms:modified xsi:type="dcterms:W3CDTF">2025-01-10T07:55:33Z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4C8D5E66792443E7A398CEEF006818A5_11</vt:lpwstr>
  </property>
</Properties>
</file>