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 xml:space="preserve"> </w:t>
            </w:r>
            <w:r>
              <w:rPr>
                <w:rFonts w:ascii="Times New Roman" w:hAnsi="Times New Roman"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点击此处添加CCS号</w:t>
            </w:r>
            <w:r>
              <w:rPr>
                <w:rFonts w:ascii="Times New Roman" w:hAnsi="Times New Roman"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52"/>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61</w:t>
            </w:r>
            <w:r>
              <w:fldChar w:fldCharType="end"/>
            </w:r>
            <w:bookmarkEnd w:id="3"/>
          </w:p>
        </w:tc>
      </w:tr>
    </w:tbl>
    <w:p>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     </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pPr>
        <w:pStyle w:val="198"/>
        <w:rPr>
          <w:rFonts w:hint="eastAsia" w:hAnsi="黑体"/>
          <w:lang w:val="fr-FR"/>
        </w:rPr>
      </w:pPr>
      <w:r>
        <w:rPr>
          <w:rFonts w:hAnsi="黑体"/>
          <w:lang w:val="fr-FR"/>
        </w:rPr>
        <w:t>DB</w:t>
      </w:r>
      <w:r>
        <w:rPr>
          <w:rFonts w:hAnsi="黑体"/>
          <w:sz w:val="15"/>
          <w:szCs w:val="15"/>
          <w:lang w:val="fr-FR"/>
        </w:rPr>
        <w:t xml:space="preserve"> </w:t>
      </w:r>
      <w:r>
        <w:rPr>
          <w:rFonts w:hAnsi="黑体"/>
        </w:rPr>
        <w:fldChar w:fldCharType="begin">
          <w:ffData>
            <w:name w:val="文字1"/>
            <w:enabled/>
            <w:calcOnExit w:val="0"/>
            <w:textInput>
              <w:default w:val="XX/T"/>
            </w:textInput>
          </w:ffData>
        </w:fldChar>
      </w:r>
      <w:bookmarkStart w:id="5" w:name="文字1"/>
      <w:r>
        <w:rPr>
          <w:rFonts w:hAnsi="黑体"/>
          <w:lang w:val="fr-FR"/>
        </w:rPr>
        <w:instrText xml:space="preserve"> FORMTEXT </w:instrText>
      </w:r>
      <w:r>
        <w:rPr>
          <w:rFonts w:hAnsi="黑体"/>
        </w:rPr>
        <w:fldChar w:fldCharType="separate"/>
      </w:r>
      <w:r>
        <w:rPr>
          <w:rFonts w:hAnsi="黑体"/>
        </w:rPr>
        <w:t>61</w:t>
      </w:r>
      <w:r>
        <w:rPr>
          <w:rFonts w:hAnsi="黑体"/>
          <w:lang w:val="fr-FR"/>
        </w:rPr>
        <w:t>/T</w:t>
      </w:r>
      <w:r>
        <w:rPr>
          <w:rFonts w:hAnsi="黑体"/>
        </w:rPr>
        <w:fldChar w:fldCharType="end"/>
      </w:r>
      <w:bookmarkEnd w:id="5"/>
      <w:r>
        <w:rPr>
          <w:rFonts w:hAnsi="黑体"/>
          <w:lang w:val="fr-FR"/>
        </w:rPr>
        <w:t xml:space="preserve"> </w:t>
      </w:r>
      <w:r>
        <w:rPr>
          <w:rFonts w:hAnsi="黑体"/>
        </w:rPr>
        <w:fldChar w:fldCharType="begin">
          <w:ffData>
            <w:name w:val="NSTD_CODE_F"/>
            <w:enabled/>
            <w:calcOnExit w:val="0"/>
            <w:textInput>
              <w:default w:val="XXXX"/>
            </w:textInput>
          </w:ffData>
        </w:fldChar>
      </w:r>
      <w:bookmarkStart w:id="6" w:name="NSTD_CODE_F"/>
      <w:r>
        <w:rPr>
          <w:rFonts w:hAnsi="黑体"/>
          <w:lang w:val="fr-FR"/>
        </w:rPr>
        <w:instrText xml:space="preserve"> FORMTEXT </w:instrText>
      </w:r>
      <w:r>
        <w:rPr>
          <w:rFonts w:hAnsi="黑体"/>
        </w:rPr>
        <w:fldChar w:fldCharType="separate"/>
      </w:r>
      <w:r>
        <w:rPr>
          <w:rFonts w:hAnsi="黑体"/>
          <w:lang w:val="fr-FR"/>
        </w:rPr>
        <w:t>XXXX</w:t>
      </w:r>
      <w:r>
        <w:rPr>
          <w:rFonts w:hAnsi="黑体"/>
        </w:rPr>
        <w:fldChar w:fldCharType="end"/>
      </w:r>
      <w:bookmarkEnd w:id="6"/>
      <w:r>
        <w:rPr>
          <w:rFonts w:hAnsi="黑体"/>
          <w:lang w:val="fr-FR"/>
        </w:rPr>
        <w:t>—</w:t>
      </w:r>
      <w:r>
        <w:rPr>
          <w:rFonts w:hAnsi="黑体"/>
        </w:rPr>
        <w:fldChar w:fldCharType="begin">
          <w:ffData>
            <w:name w:val="NSTD_CODE_B"/>
            <w:enabled/>
            <w:calcOnExit w:val="0"/>
            <w:textInput>
              <w:default w:val="XXXX"/>
            </w:textInput>
          </w:ffData>
        </w:fldChar>
      </w:r>
      <w:bookmarkStart w:id="7" w:name="NSTD_CODE_B"/>
      <w:r>
        <w:rPr>
          <w:rFonts w:hAnsi="黑体"/>
          <w:lang w:val="fr-FR"/>
        </w:rPr>
        <w:instrText xml:space="preserve"> FORMTEXT </w:instrText>
      </w:r>
      <w:r>
        <w:rPr>
          <w:rFonts w:hAnsi="黑体"/>
        </w:rPr>
        <w:fldChar w:fldCharType="separate"/>
      </w:r>
      <w:r>
        <w:rPr>
          <w:rFonts w:hAnsi="黑体"/>
          <w:lang w:val="fr-FR"/>
        </w:rPr>
        <w:t>XXXX</w:t>
      </w:r>
      <w:r>
        <w:rPr>
          <w:rFonts w:hAnsi="黑体"/>
        </w:rPr>
        <w:fldChar w:fldCharType="end"/>
      </w:r>
      <w:bookmarkEnd w:id="7"/>
    </w:p>
    <w:p>
      <w:pPr>
        <w:pStyle w:val="199"/>
        <w:rPr>
          <w:rFonts w:ascii="Times New Roman"/>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Times New Roman" w:eastAsia="黑体"/>
          <w:b w:val="0"/>
          <w:bCs w:val="0"/>
          <w:w w:val="100"/>
        </w:rPr>
      </w:pPr>
    </w:p>
    <w:p>
      <w:pPr>
        <w:pStyle w:val="200"/>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lang w:eastAsia="zh-CN"/>
        </w:rPr>
        <w:t>矿产资源规划实施评估</w:t>
      </w:r>
      <w:r>
        <w:rPr>
          <w:rFonts w:hint="eastAsia" w:ascii="Times New Roman" w:hAnsi="Times New Roman"/>
        </w:rPr>
        <w:t>技术规程</w:t>
      </w:r>
      <w:r>
        <w:rPr>
          <w:rFonts w:ascii="Times New Roman" w:hAnsi="Times New Roman"/>
        </w:rPr>
        <w:fldChar w:fldCharType="end"/>
      </w:r>
      <w:bookmarkEnd w:id="9"/>
    </w:p>
    <w:p>
      <w:pPr>
        <w:framePr w:w="9639" w:h="6974" w:hRule="exact" w:wrap="around" w:vAnchor="page" w:hAnchor="page" w:x="1419" w:y="6408" w:anchorLock="1"/>
        <w:ind w:left="-1418"/>
        <w:rPr>
          <w:rFonts w:ascii="Times New Roman" w:hAnsi="Times New Roman"/>
        </w:rPr>
      </w:pPr>
    </w:p>
    <w:p>
      <w:pPr>
        <w:pStyle w:val="128"/>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lang w:val="en-US" w:eastAsia="zh-CN"/>
        </w:rPr>
        <w:t xml:space="preserve">Code of </w:t>
      </w:r>
      <w:r>
        <w:rPr>
          <w:rFonts w:hint="eastAsia" w:ascii="Times New Roman" w:hAnsi="Times New Roman" w:cs="Times New Roman"/>
        </w:rPr>
        <w:t>evaluation for</w:t>
      </w:r>
      <w:r>
        <w:rPr>
          <w:rFonts w:hint="eastAsia" w:cs="Times New Roman"/>
          <w:lang w:val="en-US" w:eastAsia="zh-CN"/>
        </w:rPr>
        <w:t xml:space="preserve"> </w:t>
      </w:r>
      <w:r>
        <w:rPr>
          <w:rFonts w:hint="eastAsia" w:ascii="Times New Roman" w:hAnsi="Times New Roman" w:cs="Times New Roman"/>
        </w:rPr>
        <w:t>mineral</w:t>
      </w:r>
      <w:r>
        <w:rPr>
          <w:rFonts w:hint="eastAsia"/>
        </w:rPr>
        <w:t xml:space="preserve"> </w:t>
      </w:r>
      <w:r>
        <w:rPr>
          <w:rFonts w:hint="eastAsia" w:ascii="Times New Roman" w:hAnsi="Times New Roman" w:cs="Times New Roman"/>
        </w:rPr>
        <w:t>resources planning</w:t>
      </w:r>
      <w:r>
        <w:rPr>
          <w:rFonts w:hint="eastAsia" w:cs="Times New Roman"/>
          <w:lang w:val="en-US" w:eastAsia="zh-CN"/>
        </w:rPr>
        <w:t xml:space="preserve"> </w:t>
      </w:r>
      <w:r>
        <w:rPr>
          <w:rFonts w:hint="eastAsia" w:ascii="Times New Roman" w:hAnsi="Times New Roman" w:cs="Times New Roman"/>
        </w:rPr>
        <w:t>implementation</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rPr>
          <w:rFonts w:ascii="Times New Roman" w:hAnsi="Times New Roman"/>
        </w:rPr>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rFonts w:hint="eastAsia" w:eastAsia="宋体"/>
          <w:sz w:val="24"/>
          <w:szCs w:val="28"/>
          <w:lang w:eastAsia="zh-CN"/>
        </w:rPr>
      </w:pPr>
      <w:r>
        <w:rPr>
          <w:rFonts w:hint="eastAsia"/>
          <w:sz w:val="24"/>
          <w:szCs w:val="28"/>
          <w:lang w:eastAsia="zh-CN"/>
        </w:rPr>
        <w:t>（征求意见稿）</w:t>
      </w:r>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6"/>
        <w:framePr w:wrap="around" w:y="14176"/>
      </w:pPr>
      <w:r>
        <w:rPr>
          <w:rFonts w:ascii="黑体" w:hAnsi="黑体"/>
        </w:rPr>
        <w:fldChar w:fldCharType="begin">
          <w:ffData>
            <w:name w:val="PLSH_DATE_Y"/>
            <w:enabled/>
            <w:calcOnExit w:val="0"/>
            <w:textInput>
              <w:default w:val="XXXX"/>
              <w:maxLength w:val="4"/>
            </w:textInput>
          </w:ffData>
        </w:fldChar>
      </w:r>
      <w:bookmarkStart w:id="13" w:name="PLSH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3"/>
      <w:r>
        <w:rPr>
          <w:rFonts w:ascii="黑体" w:hAnsi="黑体"/>
        </w:rPr>
        <w:t xml:space="preserve"> - </w:t>
      </w:r>
      <w:r>
        <w:rPr>
          <w:rFonts w:ascii="黑体" w:hAnsi="黑体"/>
        </w:rPr>
        <w:fldChar w:fldCharType="begin">
          <w:ffData>
            <w:name w:val="PLSH_DATE_M"/>
            <w:enabled/>
            <w:calcOnExit w:val="0"/>
            <w:textInput>
              <w:default w:val="XX"/>
              <w:maxLength w:val="2"/>
            </w:textInput>
          </w:ffData>
        </w:fldChar>
      </w:r>
      <w:bookmarkStart w:id="14" w:name="PLSH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4"/>
      <w:r>
        <w:rPr>
          <w:rFonts w:ascii="黑体" w:hAnsi="黑体"/>
        </w:rPr>
        <w:t xml:space="preserve"> - </w:t>
      </w:r>
      <w:r>
        <w:rPr>
          <w:rFonts w:ascii="黑体" w:hAnsi="黑体"/>
        </w:rPr>
        <w:fldChar w:fldCharType="begin">
          <w:ffData>
            <w:name w:val="PLSH_DATE_D"/>
            <w:enabled/>
            <w:calcOnExit w:val="0"/>
            <w:textInput>
              <w:default w:val="XX"/>
              <w:maxLength w:val="2"/>
            </w:textInput>
          </w:ffData>
        </w:fldChar>
      </w:r>
      <w:bookmarkStart w:id="15" w:name="PLSH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5"/>
      <w:r>
        <w:t>发布</w:t>
      </w:r>
    </w:p>
    <w:p>
      <w:pPr>
        <w:pStyle w:val="197"/>
        <w:framePr w:wrap="around" w:y="14176"/>
      </w:pPr>
      <w:r>
        <w:rPr>
          <w:rFonts w:ascii="黑体" w:hAnsi="黑体"/>
        </w:rPr>
        <w:fldChar w:fldCharType="begin">
          <w:ffData>
            <w:name w:val="CROT_DATE_Y"/>
            <w:enabled/>
            <w:calcOnExit w:val="0"/>
            <w:textInput>
              <w:default w:val="XXXX"/>
              <w:maxLength w:val="4"/>
            </w:textInput>
          </w:ffData>
        </w:fldChar>
      </w:r>
      <w:bookmarkStart w:id="16" w:name="CROT_DATE_Y"/>
      <w:r>
        <w:rPr>
          <w:rFonts w:ascii="黑体" w:hAnsi="黑体"/>
        </w:rPr>
        <w:instrText xml:space="preserve"> FORMTEXT </w:instrText>
      </w:r>
      <w:r>
        <w:rPr>
          <w:rFonts w:ascii="黑体" w:hAnsi="黑体"/>
        </w:rPr>
        <w:fldChar w:fldCharType="separate"/>
      </w:r>
      <w:r>
        <w:rPr>
          <w:rFonts w:ascii="黑体" w:hAnsi="黑体"/>
        </w:rPr>
        <w:t>XXXX</w:t>
      </w:r>
      <w:r>
        <w:rPr>
          <w:rFonts w:ascii="黑体" w:hAnsi="黑体"/>
        </w:rPr>
        <w:fldChar w:fldCharType="end"/>
      </w:r>
      <w:bookmarkEnd w:id="16"/>
      <w:r>
        <w:rPr>
          <w:rFonts w:ascii="黑体" w:hAnsi="黑体"/>
        </w:rPr>
        <w:t xml:space="preserve"> - </w:t>
      </w:r>
      <w:r>
        <w:rPr>
          <w:rFonts w:ascii="黑体" w:hAnsi="黑体"/>
        </w:rPr>
        <w:fldChar w:fldCharType="begin">
          <w:ffData>
            <w:name w:val="CROT_DATE_M"/>
            <w:enabled/>
            <w:calcOnExit w:val="0"/>
            <w:textInput>
              <w:default w:val="XX"/>
              <w:maxLength w:val="2"/>
            </w:textInput>
          </w:ffData>
        </w:fldChar>
      </w:r>
      <w:bookmarkStart w:id="17" w:name="CROT_DATE_M"/>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7"/>
      <w:r>
        <w:rPr>
          <w:rFonts w:ascii="黑体" w:hAnsi="黑体"/>
        </w:rPr>
        <w:t xml:space="preserve"> - </w:t>
      </w:r>
      <w:r>
        <w:rPr>
          <w:rFonts w:ascii="黑体" w:hAnsi="黑体"/>
        </w:rPr>
        <w:fldChar w:fldCharType="begin">
          <w:ffData>
            <w:name w:val="CROT_DATE_D"/>
            <w:enabled/>
            <w:calcOnExit w:val="0"/>
            <w:textInput>
              <w:default w:val="XX"/>
              <w:maxLength w:val="2"/>
            </w:textInput>
          </w:ffData>
        </w:fldChar>
      </w:r>
      <w:bookmarkStart w:id="18" w:name="CROT_DATE_D"/>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8"/>
      <w:r>
        <w:t>实施</w:t>
      </w:r>
    </w:p>
    <w:p>
      <w:pPr>
        <w:pStyle w:val="154"/>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19"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陕西省市场监督管理局</w:t>
      </w:r>
      <w:r>
        <w:rPr>
          <w:rFonts w:ascii="Times New Roman"/>
          <w:w w:val="100"/>
          <w:sz w:val="28"/>
        </w:rPr>
        <w:fldChar w:fldCharType="end"/>
      </w:r>
      <w:bookmarkEnd w:id="19"/>
      <w:r>
        <w:rPr>
          <w:rFonts w:ascii="Times New Roman"/>
          <w:w w:val="100"/>
          <w:sz w:val="28"/>
        </w:rPr>
        <w:t>  </w:t>
      </w:r>
      <w:r>
        <w:rPr>
          <w:rStyle w:val="232"/>
          <w:rFonts w:ascii="Times New Roman"/>
          <w:position w:val="0"/>
        </w:rPr>
        <w:t>发</w:t>
      </w:r>
      <w:r>
        <w:rPr>
          <w:rStyle w:val="232"/>
          <w:rFonts w:ascii="Times New Roman"/>
          <w:spacing w:val="0"/>
          <w:position w:val="0"/>
        </w:rPr>
        <w:t>布</w:t>
      </w:r>
    </w:p>
    <w:p>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4"/>
        <w:keepNext w:val="0"/>
        <w:keepLines w:val="0"/>
        <w:pageBreakBefore w:val="0"/>
        <w:widowControl w:val="0"/>
        <w:kinsoku/>
        <w:wordWrap/>
        <w:overflowPunct/>
        <w:topLinePunct w:val="0"/>
        <w:autoSpaceDE/>
        <w:autoSpaceDN/>
        <w:bidi w:val="0"/>
        <w:adjustRightInd w:val="0"/>
        <w:snapToGrid/>
        <w:spacing w:after="468"/>
        <w:textAlignment w:val="auto"/>
      </w:pPr>
      <w:bookmarkStart w:id="20" w:name="BookMark1"/>
      <w:bookmarkStart w:id="21" w:name="_Toc153213898"/>
      <w:bookmarkStart w:id="22" w:name="_Toc152605165"/>
      <w:bookmarkStart w:id="23" w:name="_Toc153180468"/>
      <w:bookmarkStart w:id="24" w:name="_Toc153180414"/>
      <w:bookmarkStart w:id="25" w:name="_Toc153213844"/>
      <w:bookmarkStart w:id="26" w:name="_Toc153207334"/>
      <w:bookmarkStart w:id="27" w:name="_Toc152604322"/>
      <w:bookmarkStart w:id="28" w:name="_Toc153272199"/>
      <w:r>
        <w:rPr>
          <w:rFonts w:hint="eastAsia"/>
          <w:spacing w:val="320"/>
        </w:rPr>
        <w:t>目</w:t>
      </w:r>
      <w:r>
        <w:rPr>
          <w:rFonts w:hint="eastAsia"/>
        </w:rPr>
        <w:t>次</w:t>
      </w:r>
    </w:p>
    <w:sdt>
      <w:sdtPr>
        <w:rPr>
          <w:rFonts w:ascii="宋体" w:hAnsi="宋体" w:eastAsia="宋体" w:cs="Times New Roman"/>
          <w:kern w:val="2"/>
          <w:sz w:val="21"/>
          <w:szCs w:val="21"/>
          <w:lang w:val="en-US" w:eastAsia="zh-CN" w:bidi="ar-SA"/>
        </w:rPr>
        <w:id w:val="147481707"/>
        <w15:color w:val="DBDBDB"/>
        <w:docPartObj>
          <w:docPartGallery w:val="Table of Contents"/>
          <w:docPartUnique/>
        </w:docPartObj>
      </w:sdtPr>
      <w:sdtEndPr>
        <w:rPr>
          <w:rFonts w:ascii="黑体" w:hAnsi="Calibri" w:eastAsia="黑体" w:cs="Times New Roman"/>
          <w:b/>
          <w:kern w:val="2"/>
          <w:sz w:val="32"/>
          <w:szCs w:val="21"/>
          <w:lang w:val="en-US" w:eastAsia="zh-CN" w:bidi="ar-SA"/>
        </w:rPr>
      </w:sdtEndPr>
      <w:sdtContent>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_Toc9964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eastAsia="zh-CN"/>
            </w:rPr>
            <w:t>前</w:t>
          </w:r>
          <w:r>
            <w:rPr>
              <w:rFonts w:hint="eastAsia" w:ascii="宋体" w:hAnsi="宋体" w:eastAsia="宋体" w:cs="宋体"/>
              <w:b w:val="0"/>
              <w:bCs/>
              <w:sz w:val="21"/>
              <w:szCs w:val="21"/>
            </w:rPr>
            <w:t>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_Toc9964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II</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_Toc11296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1 </w:t>
          </w:r>
          <w:r>
            <w:rPr>
              <w:rFonts w:hint="eastAsia" w:ascii="宋体" w:hAnsi="宋体" w:eastAsia="宋体" w:cs="宋体"/>
              <w:b w:val="0"/>
              <w:bCs/>
              <w:sz w:val="21"/>
              <w:szCs w:val="21"/>
            </w:rPr>
            <w:t>范围</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_Toc11296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_Toc29720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2 </w:t>
          </w:r>
          <w:r>
            <w:rPr>
              <w:rFonts w:hint="eastAsia" w:ascii="宋体" w:hAnsi="宋体" w:eastAsia="宋体" w:cs="宋体"/>
              <w:b w:val="0"/>
              <w:bCs/>
              <w:sz w:val="21"/>
              <w:szCs w:val="21"/>
            </w:rPr>
            <w:t>规范性引用文件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_Toc29720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_Toc3880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3 </w:t>
          </w:r>
          <w:r>
            <w:rPr>
              <w:rFonts w:hint="eastAsia" w:ascii="宋体" w:hAnsi="宋体" w:eastAsia="宋体" w:cs="宋体"/>
              <w:b w:val="0"/>
              <w:bCs/>
              <w:sz w:val="21"/>
              <w:szCs w:val="21"/>
            </w:rPr>
            <w:t>术语和定义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_Toc3880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_Toc14336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4 </w:t>
          </w:r>
          <w:r>
            <w:rPr>
              <w:rFonts w:hint="eastAsia" w:ascii="宋体" w:hAnsi="宋体" w:eastAsia="宋体" w:cs="宋体"/>
              <w:b w:val="0"/>
              <w:bCs/>
              <w:sz w:val="21"/>
              <w:szCs w:val="21"/>
              <w:lang w:eastAsia="zh-CN"/>
            </w:rPr>
            <w:t>基本</w:t>
          </w:r>
          <w:r>
            <w:rPr>
              <w:rFonts w:hint="eastAsia" w:ascii="宋体" w:hAnsi="宋体" w:eastAsia="宋体" w:cs="宋体"/>
              <w:b w:val="0"/>
              <w:bCs/>
              <w:sz w:val="21"/>
              <w:szCs w:val="21"/>
            </w:rPr>
            <w:t>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_Toc14336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_Toc23051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5 </w:t>
          </w:r>
          <w:r>
            <w:rPr>
              <w:rFonts w:hint="eastAsia" w:ascii="宋体" w:hAnsi="宋体" w:eastAsia="宋体" w:cs="宋体"/>
              <w:b w:val="0"/>
              <w:bCs/>
              <w:sz w:val="21"/>
              <w:szCs w:val="21"/>
              <w:lang w:eastAsia="zh-CN"/>
            </w:rPr>
            <w:t>资料</w:t>
          </w:r>
          <w:r>
            <w:rPr>
              <w:rFonts w:hint="eastAsia" w:ascii="宋体" w:hAnsi="宋体" w:eastAsia="宋体" w:cs="宋体"/>
              <w:b w:val="0"/>
              <w:bCs/>
              <w:sz w:val="21"/>
              <w:szCs w:val="21"/>
            </w:rPr>
            <w:t>准备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_Toc23051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_Toc29391 </w:instrText>
          </w:r>
          <w:r>
            <w:rPr>
              <w:rFonts w:hint="eastAsia" w:ascii="宋体" w:hAnsi="宋体" w:eastAsia="宋体" w:cs="宋体"/>
              <w:b w:val="0"/>
              <w:bCs/>
              <w:sz w:val="21"/>
              <w:szCs w:val="21"/>
            </w:rPr>
            <w:fldChar w:fldCharType="separate"/>
          </w:r>
          <w:r>
            <w:rPr>
              <w:rFonts w:hint="eastAsia" w:ascii="宋体" w:hAnsi="宋体" w:eastAsia="宋体" w:cs="宋体"/>
              <w:b w:val="0"/>
              <w:bCs/>
              <w:i w:val="0"/>
              <w:sz w:val="21"/>
              <w:szCs w:val="21"/>
            </w:rPr>
            <w:t xml:space="preserve">6 </w:t>
          </w:r>
          <w:r>
            <w:rPr>
              <w:rFonts w:hint="eastAsia" w:ascii="宋体" w:hAnsi="宋体" w:eastAsia="宋体" w:cs="宋体"/>
              <w:b w:val="0"/>
              <w:bCs/>
              <w:sz w:val="21"/>
              <w:szCs w:val="21"/>
              <w:lang w:eastAsia="zh-CN"/>
            </w:rPr>
            <w:t>评估</w:t>
          </w:r>
          <w:r>
            <w:rPr>
              <w:rFonts w:hint="eastAsia" w:ascii="宋体" w:hAnsi="宋体" w:eastAsia="宋体" w:cs="宋体"/>
              <w:b w:val="0"/>
              <w:bCs/>
              <w:sz w:val="21"/>
              <w:szCs w:val="21"/>
            </w:rPr>
            <w:t>内容</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_Toc29391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widowControl/>
            <w:tabs>
              <w:tab w:val="right" w:leader="dot" w:pos="9354"/>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_Toc11201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 成果</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_Toc11201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_Toc5138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eastAsia="zh-CN"/>
            </w:rPr>
            <w:t>附录</w:t>
          </w:r>
          <w:r>
            <w:rPr>
              <w:rFonts w:hint="default" w:ascii="Times New Roman" w:hAnsi="Times New Roman" w:eastAsia="宋体" w:cs="Times New Roman"/>
              <w:b w:val="0"/>
              <w:bCs/>
              <w:sz w:val="21"/>
              <w:szCs w:val="21"/>
              <w:lang w:val="en-US" w:eastAsia="zh-CN"/>
            </w:rPr>
            <w:t>A</w:t>
          </w:r>
          <w:r>
            <w:rPr>
              <w:rFonts w:hint="default" w:ascii="Times New Roman" w:hAnsi="Times New Roman" w:eastAsia="宋体" w:cs="Times New Roman"/>
              <w:b w:val="0"/>
              <w:bCs/>
              <w:sz w:val="21"/>
              <w:szCs w:val="21"/>
            </w:rPr>
            <w:t>（</w:t>
          </w:r>
          <w:r>
            <w:rPr>
              <w:rFonts w:hint="eastAsia" w:ascii="宋体" w:hAnsi="宋体" w:eastAsia="宋体" w:cs="宋体"/>
              <w:b w:val="0"/>
              <w:bCs/>
              <w:sz w:val="21"/>
              <w:szCs w:val="21"/>
              <w:lang w:eastAsia="zh-CN"/>
            </w:rPr>
            <w:t>规范</w:t>
          </w:r>
          <w:r>
            <w:rPr>
              <w:rFonts w:hint="eastAsia" w:ascii="宋体" w:hAnsi="宋体" w:eastAsia="宋体" w:cs="宋体"/>
              <w:b w:val="0"/>
              <w:bCs/>
              <w:sz w:val="21"/>
              <w:szCs w:val="21"/>
            </w:rPr>
            <w:t>性） 规划目标指标实施成效评估</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_Toc5138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_Toc3686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eastAsia="zh-CN"/>
            </w:rPr>
            <w:t>附录</w:t>
          </w:r>
          <w:r>
            <w:rPr>
              <w:rFonts w:hint="default" w:ascii="Times New Roman" w:hAnsi="Times New Roman" w:eastAsia="宋体" w:cs="Times New Roman"/>
              <w:b w:val="0"/>
              <w:bCs/>
              <w:sz w:val="21"/>
              <w:szCs w:val="21"/>
              <w:lang w:val="en-US" w:eastAsia="zh-CN"/>
            </w:rPr>
            <w:t>B</w:t>
          </w:r>
          <w:r>
            <w:rPr>
              <w:rFonts w:hint="eastAsia" w:ascii="宋体" w:hAnsi="宋体" w:eastAsia="宋体" w:cs="宋体"/>
              <w:b w:val="0"/>
              <w:bCs/>
              <w:sz w:val="21"/>
              <w:szCs w:val="21"/>
            </w:rPr>
            <w:t xml:space="preserve">（资料性） </w:t>
          </w:r>
          <w:r>
            <w:rPr>
              <w:rFonts w:hint="eastAsia" w:ascii="宋体" w:hAnsi="宋体" w:eastAsia="宋体" w:cs="宋体"/>
              <w:b w:val="0"/>
              <w:bCs/>
              <w:kern w:val="0"/>
              <w:sz w:val="21"/>
              <w:szCs w:val="21"/>
              <w:lang w:val="en-US" w:eastAsia="zh-CN" w:bidi="ar-SA"/>
            </w:rPr>
            <w:t>矿产资源规划实施评估报告编写提纲</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_Toc3686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249"/>
            <w:keepNext w:val="0"/>
            <w:keepLines w:val="0"/>
            <w:pageBreakBefore w:val="0"/>
            <w:tabs>
              <w:tab w:val="right" w:leader="dot" w:pos="9354"/>
            </w:tabs>
            <w:kinsoku/>
            <w:wordWrap/>
            <w:overflowPunct/>
            <w:topLinePunct w:val="0"/>
            <w:autoSpaceDE/>
            <w:autoSpaceDN/>
            <w:bidi w:val="0"/>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\l _Toc27009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lang w:eastAsia="zh-CN"/>
            </w:rPr>
            <w:t>参考文献</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_Toc27009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z w:val="21"/>
              <w:szCs w:val="21"/>
            </w:rPr>
            <w:fldChar w:fldCharType="end"/>
          </w:r>
        </w:p>
        <w:p>
          <w:pPr>
            <w:pStyle w:val="94"/>
            <w:keepNext w:val="0"/>
            <w:keepLines w:val="0"/>
            <w:pageBreakBefore w:val="0"/>
            <w:kinsoku/>
            <w:wordWrap/>
            <w:overflowPunct/>
            <w:topLinePunct w:val="0"/>
            <w:autoSpaceDE/>
            <w:autoSpaceDN/>
            <w:bidi w:val="0"/>
            <w:snapToGrid/>
            <w:spacing w:after="468" w:line="400" w:lineRule="exact"/>
            <w:jc w:val="both"/>
            <w:textAlignment w:val="auto"/>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b/>
              <w:sz w:val="21"/>
              <w:szCs w:val="21"/>
            </w:rPr>
            <w:fldChar w:fldCharType="end"/>
          </w:r>
        </w:p>
      </w:sdtContent>
    </w:sdt>
    <w:bookmarkEnd w:id="20"/>
    <w:p>
      <w:pPr>
        <w:pStyle w:val="92"/>
        <w:spacing w:before="900" w:after="468"/>
        <w:rPr>
          <w:rFonts w:ascii="Times New Roman"/>
        </w:rPr>
      </w:pPr>
      <w:bookmarkStart w:id="29" w:name="_Toc9964"/>
      <w:bookmarkStart w:id="30" w:name="_Toc21739"/>
      <w:bookmarkStart w:id="31" w:name="BookMark2"/>
      <w:r>
        <w:rPr>
          <w:rFonts w:ascii="Times New Roman"/>
          <w:spacing w:val="320"/>
        </w:rPr>
        <w:t>前</w:t>
      </w:r>
      <w:r>
        <w:rPr>
          <w:rFonts w:ascii="Times New Roman"/>
        </w:rPr>
        <w:t>言</w:t>
      </w:r>
      <w:bookmarkEnd w:id="21"/>
      <w:bookmarkEnd w:id="22"/>
      <w:bookmarkEnd w:id="23"/>
      <w:bookmarkEnd w:id="24"/>
      <w:bookmarkEnd w:id="25"/>
      <w:bookmarkEnd w:id="26"/>
      <w:bookmarkEnd w:id="27"/>
      <w:bookmarkEnd w:id="28"/>
      <w:bookmarkEnd w:id="29"/>
      <w:bookmarkEnd w:id="30"/>
    </w:p>
    <w:p>
      <w:pPr>
        <w:pStyle w:val="59"/>
        <w:ind w:firstLine="420"/>
        <w:rPr>
          <w:rFonts w:hint="eastAsia" w:hAnsi="宋体"/>
        </w:rPr>
      </w:pPr>
      <w:r>
        <w:rPr>
          <w:rFonts w:hAnsi="宋体"/>
        </w:rPr>
        <w:t>本文件按照GB/T 1.1—2020《标准化工作导则  第1部分：标准化文件的结构和起草规则》的规定起草。</w:t>
      </w:r>
    </w:p>
    <w:p>
      <w:pPr>
        <w:pStyle w:val="59"/>
        <w:ind w:firstLine="420"/>
        <w:rPr>
          <w:rFonts w:hint="eastAsia" w:hAnsi="宋体"/>
        </w:rPr>
      </w:pPr>
      <w:r>
        <w:rPr>
          <w:rFonts w:hAnsi="宋体"/>
        </w:rPr>
        <w:t>请注意本文件的某些内容可能涉及专利。本文件的发布机构不承担识别专利的责任。</w:t>
      </w:r>
    </w:p>
    <w:p>
      <w:pPr>
        <w:pStyle w:val="59"/>
        <w:ind w:firstLine="420"/>
        <w:rPr>
          <w:rFonts w:hint="eastAsia" w:hAnsi="宋体"/>
        </w:rPr>
      </w:pPr>
      <w:r>
        <w:rPr>
          <w:rFonts w:hAnsi="宋体"/>
        </w:rPr>
        <w:t>本文件由陕西省自然资源厅提出并归口。</w:t>
      </w:r>
    </w:p>
    <w:p>
      <w:pPr>
        <w:autoSpaceDE w:val="0"/>
        <w:autoSpaceDN w:val="0"/>
        <w:adjustRightInd w:val="0"/>
        <w:ind w:firstLine="420" w:firstLineChars="200"/>
        <w:jc w:val="left"/>
        <w:rPr>
          <w:rFonts w:hint="eastAsia" w:ascii="宋体" w:cs="宋体"/>
          <w:kern w:val="0"/>
          <w:szCs w:val="21"/>
          <w:lang w:val="en-US" w:eastAsia="zh-CN"/>
        </w:rPr>
      </w:pPr>
      <w:r>
        <w:rPr>
          <w:rFonts w:hAnsi="宋体"/>
        </w:rPr>
        <w:t>本文件起草单位：</w:t>
      </w:r>
      <w:r>
        <w:rPr>
          <w:rFonts w:hint="eastAsia" w:ascii="宋体" w:cs="宋体"/>
          <w:kern w:val="0"/>
          <w:szCs w:val="21"/>
        </w:rPr>
        <w:t>陕西省</w:t>
      </w:r>
      <w:r>
        <w:rPr>
          <w:rFonts w:hint="eastAsia" w:ascii="宋体" w:cs="宋体"/>
          <w:kern w:val="0"/>
          <w:szCs w:val="21"/>
          <w:lang w:eastAsia="zh-CN"/>
        </w:rPr>
        <w:t>国土空间勘测规划院、陕西省自然资源厅矿产资源保护监督处、长安大学、</w:t>
      </w:r>
      <w:r>
        <w:rPr>
          <w:rFonts w:hint="eastAsia" w:ascii="宋体" w:cs="宋体"/>
          <w:kern w:val="0"/>
          <w:szCs w:val="21"/>
          <w:lang w:val="en-US" w:eastAsia="zh-CN"/>
        </w:rPr>
        <w:t>西安地质矿产勘查开发院有限公司。</w:t>
      </w:r>
    </w:p>
    <w:p>
      <w:pPr>
        <w:pStyle w:val="59"/>
        <w:ind w:firstLine="420"/>
        <w:rPr>
          <w:rFonts w:hAnsi="宋体"/>
        </w:rPr>
      </w:pPr>
      <w:r>
        <w:rPr>
          <w:rFonts w:hAnsi="宋体"/>
        </w:rPr>
        <w:t>本文件主要起草人：</w:t>
      </w:r>
    </w:p>
    <w:p>
      <w:pPr>
        <w:pStyle w:val="59"/>
        <w:ind w:firstLine="420"/>
        <w:rPr>
          <w:rFonts w:hint="eastAsia" w:hAnsi="宋体"/>
        </w:rPr>
      </w:pPr>
      <w:r>
        <w:rPr>
          <w:rFonts w:hAnsi="宋体"/>
        </w:rPr>
        <w:t>本文件由陕西省自然资源标准化技术委员会解释。</w:t>
      </w:r>
    </w:p>
    <w:p>
      <w:pPr>
        <w:pStyle w:val="59"/>
        <w:ind w:firstLine="420"/>
        <w:rPr>
          <w:rFonts w:hint="eastAsia" w:hAnsi="宋体"/>
        </w:rPr>
      </w:pPr>
      <w:r>
        <w:rPr>
          <w:rFonts w:hAnsi="宋体"/>
        </w:rPr>
        <w:t>本文件为首次发布。</w:t>
      </w:r>
    </w:p>
    <w:p>
      <w:pPr>
        <w:pStyle w:val="59"/>
        <w:ind w:firstLine="420"/>
        <w:rPr>
          <w:rFonts w:hint="eastAsia" w:hAnsi="宋体"/>
        </w:rPr>
      </w:pPr>
      <w:r>
        <w:rPr>
          <w:rFonts w:hAnsi="宋体"/>
        </w:rPr>
        <w:t>联系信息：</w:t>
      </w:r>
    </w:p>
    <w:p>
      <w:pPr>
        <w:pStyle w:val="59"/>
        <w:ind w:firstLine="420"/>
        <w:rPr>
          <w:rFonts w:hint="eastAsia" w:hAnsi="宋体"/>
        </w:rPr>
      </w:pPr>
      <w:r>
        <w:rPr>
          <w:rFonts w:hAnsi="宋体"/>
        </w:rPr>
        <w:t>单位：陕西省国土空间勘测规划院</w:t>
      </w:r>
    </w:p>
    <w:p>
      <w:pPr>
        <w:pStyle w:val="59"/>
        <w:ind w:firstLine="420"/>
        <w:rPr>
          <w:rFonts w:hint="eastAsia" w:hAnsi="宋体"/>
        </w:rPr>
      </w:pPr>
      <w:r>
        <w:rPr>
          <w:rFonts w:hAnsi="宋体"/>
        </w:rPr>
        <w:t>电话：029-87851456</w:t>
      </w:r>
    </w:p>
    <w:p>
      <w:pPr>
        <w:pStyle w:val="59"/>
        <w:ind w:firstLine="420"/>
        <w:rPr>
          <w:rFonts w:hint="eastAsia" w:hAnsi="宋体"/>
        </w:rPr>
      </w:pPr>
      <w:r>
        <w:rPr>
          <w:rFonts w:hAnsi="宋体"/>
        </w:rPr>
        <w:t>地址：西安市碑林区雁塔北路100号</w:t>
      </w:r>
    </w:p>
    <w:p>
      <w:pPr>
        <w:pStyle w:val="59"/>
        <w:ind w:firstLine="420"/>
        <w:rPr>
          <w:rFonts w:hint="eastAsia" w:hAnsi="宋体"/>
        </w:rPr>
      </w:pPr>
      <w:r>
        <w:rPr>
          <w:rFonts w:hAnsi="宋体"/>
        </w:rPr>
        <w:t>邮箱：641529225@qq.com</w:t>
      </w:r>
    </w:p>
    <w:p>
      <w:pPr>
        <w:pStyle w:val="59"/>
        <w:ind w:firstLine="420"/>
        <w:rPr>
          <w:rFonts w:ascii="Times New Roman"/>
        </w:rPr>
      </w:pPr>
    </w:p>
    <w:p>
      <w:pPr>
        <w:pStyle w:val="59"/>
        <w:ind w:firstLine="420"/>
        <w:rPr>
          <w:rFonts w:ascii="Times New Roman"/>
        </w:rPr>
      </w:pPr>
    </w:p>
    <w:p>
      <w:pPr>
        <w:pStyle w:val="59"/>
        <w:ind w:firstLine="420"/>
        <w:rPr>
          <w:rFonts w:ascii="Times New Roma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31"/>
    <w:p>
      <w:pPr>
        <w:spacing w:line="20" w:lineRule="exact"/>
        <w:jc w:val="center"/>
        <w:rPr>
          <w:rFonts w:ascii="Times New Roman" w:hAnsi="Times New Roman" w:eastAsia="黑体"/>
          <w:sz w:val="32"/>
          <w:szCs w:val="32"/>
        </w:rPr>
      </w:pPr>
      <w:bookmarkStart w:id="32"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5705E814F1A04DF8B43B8F493559A9C1"/>
        </w:placeholder>
      </w:sdtPr>
      <w:sdtEndPr>
        <w:rPr>
          <w:rFonts w:ascii="Times New Roman" w:hAnsi="Times New Roman"/>
        </w:rPr>
      </w:sdtEndPr>
      <w:sdtContent>
        <w:p>
          <w:pPr>
            <w:pStyle w:val="180"/>
            <w:spacing w:before="3" w:beforeLines="1" w:after="686" w:afterLines="220"/>
            <w:rPr>
              <w:rFonts w:ascii="Times New Roman" w:hAnsi="Times New Roman"/>
            </w:rPr>
          </w:pPr>
          <w:bookmarkStart w:id="33" w:name="NEW_STAND_NAME"/>
          <w:r>
            <w:rPr>
              <w:rFonts w:hint="eastAsia" w:ascii="Times New Roman" w:hAnsi="Times New Roman"/>
              <w:lang w:eastAsia="zh-CN"/>
            </w:rPr>
            <w:t>矿产资源规划实施评估技术</w:t>
          </w:r>
          <w:r>
            <w:rPr>
              <w:rFonts w:ascii="Times New Roman" w:hAnsi="Times New Roman"/>
            </w:rPr>
            <w:t>规程</w:t>
          </w:r>
        </w:p>
      </w:sdtContent>
    </w:sdt>
    <w:bookmarkEnd w:id="33"/>
    <w:p>
      <w:pPr>
        <w:pStyle w:val="107"/>
        <w:spacing w:before="312" w:after="312"/>
        <w:rPr>
          <w:rFonts w:ascii="Times New Roman"/>
        </w:rPr>
      </w:pPr>
      <w:bookmarkStart w:id="34" w:name="_Toc17233333"/>
      <w:bookmarkStart w:id="35" w:name="_Toc153180415"/>
      <w:bookmarkStart w:id="36" w:name="_Toc153213845"/>
      <w:bookmarkStart w:id="37" w:name="_Toc26718930"/>
      <w:bookmarkStart w:id="38" w:name="_Toc26986530"/>
      <w:bookmarkStart w:id="39" w:name="_Toc26648465"/>
      <w:bookmarkStart w:id="40" w:name="_Toc24884211"/>
      <w:bookmarkStart w:id="41" w:name="_Toc24884218"/>
      <w:bookmarkStart w:id="42" w:name="_Toc153272200"/>
      <w:bookmarkStart w:id="43" w:name="_Toc164"/>
      <w:bookmarkStart w:id="44" w:name="_Toc11296"/>
      <w:bookmarkStart w:id="45" w:name="_Toc17233325"/>
      <w:bookmarkStart w:id="46" w:name="_Toc152604323"/>
      <w:bookmarkStart w:id="47" w:name="_Toc153213899"/>
      <w:bookmarkStart w:id="48" w:name="_Toc152605166"/>
      <w:bookmarkStart w:id="49" w:name="_Toc153180469"/>
      <w:bookmarkStart w:id="50" w:name="_Toc26986771"/>
      <w:bookmarkStart w:id="51" w:name="_Toc97191423"/>
      <w:bookmarkStart w:id="52" w:name="_Toc153207335"/>
      <w:r>
        <w:rPr>
          <w:rFonts w:ascii="Times New Roman"/>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24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文件</w:t>
      </w:r>
      <w:r>
        <w:rPr>
          <w:rFonts w:hint="default" w:ascii="Times New Roman" w:hAnsi="Times New Roman" w:cs="Times New Roman"/>
        </w:rPr>
        <w:t>规定了</w:t>
      </w:r>
      <w:r>
        <w:rPr>
          <w:rFonts w:hint="default" w:ascii="Times New Roman" w:hAnsi="Times New Roman" w:cs="Times New Roman"/>
          <w:lang w:val="en-US" w:eastAsia="zh-CN"/>
        </w:rPr>
        <w:t>矿产资源规划实施</w:t>
      </w:r>
      <w:r>
        <w:rPr>
          <w:rFonts w:hint="default" w:ascii="Times New Roman" w:hAnsi="Times New Roman" w:cs="Times New Roman"/>
        </w:rPr>
        <w:t>评估的术语和定义、基本原则、</w:t>
      </w:r>
      <w:r>
        <w:rPr>
          <w:rFonts w:hint="eastAsia" w:ascii="Times New Roman" w:cs="Times New Roman"/>
          <w:lang w:eastAsia="zh-CN"/>
        </w:rPr>
        <w:t>基本要求、</w:t>
      </w:r>
      <w:r>
        <w:rPr>
          <w:rFonts w:hint="default" w:ascii="Times New Roman" w:hAnsi="Times New Roman" w:cs="Times New Roman"/>
        </w:rPr>
        <w:t>评估方法、</w:t>
      </w:r>
      <w:r>
        <w:rPr>
          <w:rFonts w:hint="default" w:ascii="Times New Roman" w:hAnsi="Times New Roman" w:cs="Times New Roman"/>
          <w:lang w:eastAsia="zh-CN"/>
        </w:rPr>
        <w:t>评估程序、</w:t>
      </w:r>
      <w:r>
        <w:rPr>
          <w:rFonts w:hint="default" w:ascii="Times New Roman" w:hAnsi="Times New Roman" w:cs="Times New Roman"/>
        </w:rPr>
        <w:t>评估</w:t>
      </w:r>
      <w:r>
        <w:rPr>
          <w:rFonts w:hint="default" w:ascii="Times New Roman" w:hAnsi="Times New Roman" w:cs="Times New Roman"/>
          <w:lang w:val="en-US" w:eastAsia="zh-CN"/>
        </w:rPr>
        <w:t>内容及成果</w:t>
      </w:r>
      <w:r>
        <w:rPr>
          <w:rFonts w:hint="default" w:ascii="Times New Roman" w:hAnsi="Times New Roman" w:cs="Times New Roman"/>
        </w:rPr>
        <w:t>要求</w:t>
      </w:r>
      <w:r>
        <w:rPr>
          <w:rFonts w:hint="default" w:ascii="Times New Roman" w:hAnsi="Times New Roman" w:cs="Times New Roman"/>
          <w:lang w:eastAsia="zh-CN"/>
        </w:rPr>
        <w:t>等</w:t>
      </w:r>
      <w:r>
        <w:rPr>
          <w:rFonts w:hint="default" w:ascii="Times New Roman" w:hAnsi="Times New Roman" w:cs="Times New Roman"/>
        </w:rPr>
        <w:t>。</w:t>
      </w:r>
    </w:p>
    <w:p>
      <w:pPr>
        <w:pStyle w:val="24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文件</w:t>
      </w:r>
      <w:r>
        <w:rPr>
          <w:rFonts w:hint="default" w:ascii="Times New Roman" w:hAnsi="Times New Roman" w:cs="Times New Roman"/>
        </w:rPr>
        <w:t>适用于</w:t>
      </w:r>
      <w:r>
        <w:rPr>
          <w:rFonts w:hint="default" w:ascii="Times New Roman" w:cs="Times New Roman"/>
          <w:lang w:val="en-US" w:eastAsia="zh-CN"/>
        </w:rPr>
        <w:t>省级、市级、县级</w:t>
      </w:r>
      <w:r>
        <w:rPr>
          <w:rFonts w:hint="default" w:ascii="Times New Roman" w:hAnsi="Times New Roman" w:cs="Times New Roman"/>
          <w:lang w:val="en-US" w:eastAsia="zh-CN"/>
        </w:rPr>
        <w:t>矿产资源总体规划</w:t>
      </w:r>
      <w:r>
        <w:rPr>
          <w:rFonts w:hint="eastAsia" w:ascii="Times New Roman" w:cs="Times New Roman"/>
          <w:lang w:val="en-US" w:eastAsia="zh-CN"/>
        </w:rPr>
        <w:t>，及</w:t>
      </w:r>
      <w:r>
        <w:rPr>
          <w:rFonts w:hint="default" w:ascii="Times New Roman" w:hAnsi="Times New Roman" w:cs="Times New Roman"/>
          <w:lang w:val="en-US" w:eastAsia="zh-CN"/>
        </w:rPr>
        <w:t>矿产资源专项规划实施</w:t>
      </w:r>
      <w:r>
        <w:rPr>
          <w:rFonts w:hint="eastAsia" w:ascii="Times New Roman" w:cs="Times New Roman"/>
          <w:lang w:val="en-US" w:eastAsia="zh-CN"/>
        </w:rPr>
        <w:t>成效的</w:t>
      </w:r>
      <w:r>
        <w:rPr>
          <w:rFonts w:hint="default" w:ascii="Times New Roman" w:hAnsi="Times New Roman" w:cs="Times New Roman"/>
        </w:rPr>
        <w:t>评估工作。</w:t>
      </w:r>
    </w:p>
    <w:p>
      <w:pPr>
        <w:pStyle w:val="107"/>
        <w:spacing w:before="312" w:after="312"/>
        <w:rPr>
          <w:rFonts w:ascii="Times New Roman"/>
        </w:rPr>
      </w:pPr>
      <w:bookmarkStart w:id="53" w:name="_Toc26648466"/>
      <w:bookmarkStart w:id="54" w:name="_Toc24884212"/>
      <w:bookmarkStart w:id="55" w:name="_Toc153207336"/>
      <w:bookmarkStart w:id="56" w:name="_Toc17233326"/>
      <w:bookmarkStart w:id="57" w:name="_Toc153180416"/>
      <w:bookmarkStart w:id="58" w:name="_Toc26718931"/>
      <w:bookmarkStart w:id="59" w:name="_Toc152605167"/>
      <w:bookmarkStart w:id="60" w:name="_Toc17233334"/>
      <w:bookmarkStart w:id="61" w:name="_Toc24884219"/>
      <w:bookmarkStart w:id="62" w:name="_Toc152604324"/>
      <w:bookmarkStart w:id="63" w:name="_Toc153213846"/>
      <w:bookmarkStart w:id="64" w:name="_Toc26986531"/>
      <w:bookmarkStart w:id="65" w:name="_Toc26986772"/>
      <w:bookmarkStart w:id="66" w:name="_Toc153272201"/>
      <w:bookmarkStart w:id="67" w:name="_Toc97191424"/>
      <w:bookmarkStart w:id="68" w:name="_Toc153180470"/>
      <w:bookmarkStart w:id="69" w:name="_Toc153213900"/>
      <w:bookmarkStart w:id="70" w:name="_Toc13921"/>
      <w:bookmarkStart w:id="71" w:name="_Toc29720"/>
      <w:r>
        <w:rPr>
          <w:rFonts w:ascii="Times New Roman"/>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sdt>
      <w:sdtPr>
        <w:rPr>
          <w:rFonts w:ascii="Times New Roman"/>
        </w:rPr>
        <w:id w:val="715848253"/>
        <w:placeholder>
          <w:docPart w:val="769358757F854073B587A28751A76BE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59"/>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lang w:val="en-US" w:eastAsia="zh-CN"/>
        </w:rPr>
      </w:pPr>
      <w:bookmarkStart w:id="72" w:name="_Toc152605168"/>
      <w:bookmarkStart w:id="73" w:name="_Toc153207337"/>
      <w:bookmarkStart w:id="74" w:name="_Toc153272202"/>
      <w:bookmarkStart w:id="75" w:name="_Toc97191425"/>
      <w:bookmarkStart w:id="76" w:name="_Toc153213901"/>
      <w:bookmarkStart w:id="77" w:name="_Toc153180471"/>
      <w:bookmarkStart w:id="78" w:name="_Toc153213847"/>
      <w:bookmarkStart w:id="79" w:name="_Toc152604325"/>
      <w:bookmarkStart w:id="80" w:name="_Toc153180417"/>
      <w:r>
        <w:rPr>
          <w:rFonts w:hint="eastAsia" w:ascii="Times New Roman" w:hAnsi="Times New Roman" w:cs="Times New Roman"/>
          <w:lang w:val="en-US" w:eastAsia="zh-CN"/>
        </w:rPr>
        <w:t>GB</w:t>
      </w:r>
      <w:r>
        <w:rPr>
          <w:rFonts w:hint="default" w:ascii="Times New Roman" w:hAnsi="Times New Roman" w:cs="Times New Roman"/>
          <w:lang w:val="en-US" w:eastAsia="zh-CN"/>
        </w:rPr>
        <w:t>/T 17766 固体矿产资源储量分类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DZ/T 0400 矿产资源储量规模划分标准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DZ/T 0226 矿产资源规划数据库标准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DZ/T 0226 矿产资源规划图示图例标准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DZ/T 0444 省级矿产资源总体规划编制技术规程</w:t>
      </w:r>
    </w:p>
    <w:p>
      <w:pPr>
        <w:pStyle w:val="107"/>
        <w:spacing w:before="312" w:after="312"/>
        <w:rPr>
          <w:rFonts w:ascii="Times New Roman"/>
        </w:rPr>
      </w:pPr>
      <w:bookmarkStart w:id="81" w:name="_Toc14048"/>
      <w:bookmarkStart w:id="82" w:name="_Toc3880"/>
      <w:r>
        <w:rPr>
          <w:rFonts w:ascii="Times New Roman"/>
          <w:szCs w:val="21"/>
        </w:rPr>
        <w:t>术语和定义</w:t>
      </w:r>
      <w:bookmarkEnd w:id="72"/>
      <w:bookmarkEnd w:id="73"/>
      <w:bookmarkEnd w:id="74"/>
      <w:bookmarkEnd w:id="75"/>
      <w:bookmarkEnd w:id="76"/>
      <w:bookmarkEnd w:id="77"/>
      <w:bookmarkEnd w:id="78"/>
      <w:bookmarkEnd w:id="79"/>
      <w:bookmarkEnd w:id="80"/>
      <w:bookmarkEnd w:id="81"/>
      <w:bookmarkEnd w:id="82"/>
    </w:p>
    <w:sdt>
      <w:sdtPr>
        <w:rPr>
          <w:rFonts w:hAnsi="宋体"/>
        </w:rPr>
        <w:id w:val="-1909835108"/>
        <w:placeholder>
          <w:docPart w:val="38C34D0E09D748A48BB389ACF2E377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pPr>
            <w:pStyle w:val="59"/>
            <w:ind w:firstLine="420"/>
            <w:rPr>
              <w:rFonts w:hint="eastAsia" w:hAnsi="宋体"/>
            </w:rPr>
          </w:pPr>
          <w:bookmarkStart w:id="83" w:name="_Toc26986532"/>
          <w:bookmarkEnd w:id="83"/>
          <w:r>
            <w:rPr>
              <w:rFonts w:ascii="宋体" w:hAnsi="宋体" w:eastAsia="宋体" w:cs="Times New Roman"/>
              <w:sz w:val="21"/>
              <w:lang w:val="en-US" w:eastAsia="zh-CN" w:bidi="ar-SA"/>
            </w:rPr>
            <w:t>下列术语和定义适用于本文件。</w:t>
          </w:r>
        </w:p>
      </w:sdtContent>
    </w:sdt>
    <w:p>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实施评估 Evaluation for mineral resources planning implementation</w:t>
      </w:r>
    </w:p>
    <w:p>
      <w:pPr>
        <w:pStyle w:val="59"/>
        <w:ind w:firstLine="420"/>
        <w:rPr>
          <w:rFonts w:hint="eastAsia"/>
          <w:lang w:val="en-US" w:eastAsia="zh-CN"/>
        </w:rPr>
      </w:pPr>
      <w:r>
        <w:rPr>
          <w:rFonts w:hint="eastAsia"/>
          <w:lang w:val="en-US" w:eastAsia="zh-CN"/>
        </w:rPr>
        <w:t>规划实施评估指在规划实施中期或期末，对规划实施成效进行评估的行为。包括中期评估与总结评估。</w:t>
      </w:r>
    </w:p>
    <w:p>
      <w:pPr>
        <w:pStyle w:val="247"/>
        <w:keepNext w:val="0"/>
        <w:keepLines w:val="0"/>
        <w:pageBreakBefore w:val="0"/>
        <w:widowControl/>
        <w:kinsoku/>
        <w:wordWrap/>
        <w:overflowPunct/>
        <w:topLinePunct w:val="0"/>
        <w:autoSpaceDE w:val="0"/>
        <w:autoSpaceDN w:val="0"/>
        <w:bidi w:val="0"/>
        <w:adjustRightInd/>
        <w:snapToGrid/>
        <w:textAlignment w:val="auto"/>
        <w:rPr>
          <w:rFonts w:hint="eastAsia" w:ascii="Times New Roman" w:cs="Times New Roman"/>
          <w:sz w:val="18"/>
          <w:szCs w:val="16"/>
          <w:lang w:val="en-US" w:eastAsia="zh-CN"/>
        </w:rPr>
      </w:pPr>
      <w:r>
        <w:rPr>
          <w:rFonts w:hint="eastAsia"/>
          <w:sz w:val="18"/>
          <w:szCs w:val="16"/>
          <w:lang w:val="en-US" w:eastAsia="zh-CN"/>
        </w:rPr>
        <w:t>注1：中期评估是指</w:t>
      </w:r>
      <w:r>
        <w:rPr>
          <w:rFonts w:hint="default" w:ascii="Times New Roman" w:hAnsi="Times New Roman" w:cs="Times New Roman"/>
          <w:sz w:val="18"/>
          <w:szCs w:val="16"/>
          <w:lang w:val="en-US" w:eastAsia="zh-CN"/>
        </w:rPr>
        <w:t>在规划实施的中</w:t>
      </w:r>
      <w:r>
        <w:rPr>
          <w:rFonts w:hint="eastAsia" w:ascii="Times New Roman" w:cs="Times New Roman"/>
          <w:sz w:val="18"/>
          <w:szCs w:val="16"/>
          <w:lang w:val="en-US" w:eastAsia="zh-CN"/>
        </w:rPr>
        <w:t>期</w:t>
      </w:r>
      <w:r>
        <w:rPr>
          <w:rFonts w:hint="default" w:ascii="Times New Roman" w:hAnsi="Times New Roman" w:cs="Times New Roman"/>
          <w:sz w:val="18"/>
          <w:szCs w:val="16"/>
          <w:lang w:val="en-US" w:eastAsia="zh-CN"/>
        </w:rPr>
        <w:t>，</w:t>
      </w:r>
      <w:r>
        <w:rPr>
          <w:rFonts w:hint="eastAsia" w:ascii="Times New Roman" w:cs="Times New Roman"/>
          <w:sz w:val="18"/>
          <w:szCs w:val="16"/>
          <w:lang w:val="en-US" w:eastAsia="zh-CN"/>
        </w:rPr>
        <w:t>对标时间过半，任务过半的原则，评估</w:t>
      </w:r>
      <w:r>
        <w:rPr>
          <w:rFonts w:hint="default" w:ascii="Times New Roman" w:hAnsi="Times New Roman" w:cs="Times New Roman"/>
          <w:sz w:val="18"/>
          <w:szCs w:val="16"/>
          <w:lang w:val="en-US" w:eastAsia="zh-CN"/>
        </w:rPr>
        <w:t>规划目标任务的实施进展、成效，剖析出现的问题和原因，提出</w:t>
      </w:r>
      <w:r>
        <w:rPr>
          <w:rFonts w:hint="eastAsia" w:ascii="Times New Roman" w:cs="Times New Roman"/>
          <w:sz w:val="18"/>
          <w:szCs w:val="16"/>
          <w:lang w:val="en-US" w:eastAsia="zh-CN"/>
        </w:rPr>
        <w:t>下一步规划实施</w:t>
      </w:r>
      <w:r>
        <w:rPr>
          <w:rFonts w:hint="default" w:ascii="Times New Roman" w:hAnsi="Times New Roman" w:cs="Times New Roman"/>
          <w:sz w:val="18"/>
          <w:szCs w:val="16"/>
          <w:lang w:val="en-US" w:eastAsia="zh-CN"/>
        </w:rPr>
        <w:t>的对策建议，做出是否需要对规划</w:t>
      </w:r>
      <w:r>
        <w:rPr>
          <w:rFonts w:hint="eastAsia" w:ascii="Times New Roman" w:cs="Times New Roman"/>
          <w:sz w:val="18"/>
          <w:szCs w:val="16"/>
          <w:lang w:val="en-US" w:eastAsia="zh-CN"/>
        </w:rPr>
        <w:t>或勘查开采规划区块</w:t>
      </w:r>
      <w:r>
        <w:rPr>
          <w:rFonts w:hint="default" w:ascii="Times New Roman" w:hAnsi="Times New Roman" w:cs="Times New Roman"/>
          <w:sz w:val="18"/>
          <w:szCs w:val="16"/>
          <w:lang w:val="en-US" w:eastAsia="zh-CN"/>
        </w:rPr>
        <w:t>进行调整的结论，保障矿产资源规划顺利实施的行为</w:t>
      </w:r>
      <w:r>
        <w:rPr>
          <w:rFonts w:hint="eastAsia" w:ascii="Times New Roman" w:cs="Times New Roman"/>
          <w:sz w:val="18"/>
          <w:szCs w:val="16"/>
          <w:lang w:val="en-US" w:eastAsia="zh-CN"/>
        </w:rPr>
        <w:t>。</w:t>
      </w:r>
    </w:p>
    <w:p>
      <w:pPr>
        <w:pStyle w:val="247"/>
        <w:keepNext w:val="0"/>
        <w:keepLines w:val="0"/>
        <w:pageBreakBefore w:val="0"/>
        <w:widowControl/>
        <w:kinsoku/>
        <w:wordWrap/>
        <w:overflowPunct/>
        <w:topLinePunct w:val="0"/>
        <w:autoSpaceDE w:val="0"/>
        <w:autoSpaceDN w:val="0"/>
        <w:bidi w:val="0"/>
        <w:adjustRightInd/>
        <w:snapToGrid/>
        <w:textAlignment w:val="auto"/>
        <w:rPr>
          <w:rFonts w:hint="default" w:ascii="Times New Roman" w:hAnsi="Times New Roman" w:cs="Times New Roman"/>
          <w:sz w:val="18"/>
          <w:szCs w:val="16"/>
          <w:lang w:val="en-US" w:eastAsia="zh-CN"/>
        </w:rPr>
      </w:pPr>
      <w:r>
        <w:rPr>
          <w:rFonts w:hint="eastAsia" w:ascii="Times New Roman" w:hAnsi="Times New Roman" w:cs="Times New Roman"/>
          <w:sz w:val="18"/>
          <w:szCs w:val="16"/>
          <w:lang w:val="en-US" w:eastAsia="zh-CN"/>
        </w:rPr>
        <w:t>注2：总结评估是指</w:t>
      </w:r>
      <w:r>
        <w:rPr>
          <w:rFonts w:hint="default" w:ascii="Times New Roman" w:hAnsi="Times New Roman" w:cs="Times New Roman"/>
          <w:sz w:val="18"/>
          <w:szCs w:val="16"/>
          <w:lang w:val="en-US" w:eastAsia="zh-CN"/>
        </w:rPr>
        <w:t>在规划实施</w:t>
      </w:r>
      <w:r>
        <w:rPr>
          <w:rFonts w:hint="eastAsia" w:ascii="Times New Roman" w:hAnsi="Times New Roman" w:cs="Times New Roman"/>
          <w:sz w:val="18"/>
          <w:szCs w:val="16"/>
          <w:lang w:val="en-US" w:eastAsia="zh-CN"/>
        </w:rPr>
        <w:t>的</w:t>
      </w:r>
      <w:r>
        <w:rPr>
          <w:rFonts w:hint="default" w:ascii="Times New Roman" w:hAnsi="Times New Roman" w:cs="Times New Roman"/>
          <w:sz w:val="18"/>
          <w:szCs w:val="16"/>
          <w:lang w:val="en-US" w:eastAsia="zh-CN"/>
        </w:rPr>
        <w:t>期末，</w:t>
      </w:r>
      <w:r>
        <w:rPr>
          <w:rFonts w:hint="eastAsia" w:ascii="Times New Roman" w:hAnsi="Times New Roman" w:cs="Times New Roman"/>
          <w:sz w:val="18"/>
          <w:szCs w:val="16"/>
          <w:lang w:val="en-US" w:eastAsia="zh-CN"/>
        </w:rPr>
        <w:t>全面评估</w:t>
      </w:r>
      <w:r>
        <w:rPr>
          <w:rFonts w:hint="default" w:ascii="Times New Roman" w:hAnsi="Times New Roman" w:cs="Times New Roman"/>
          <w:sz w:val="18"/>
          <w:szCs w:val="16"/>
          <w:lang w:val="en-US" w:eastAsia="zh-CN"/>
        </w:rPr>
        <w:t>规划目标任务的完成情况、实施成效，分析规划实施过程中存在的问题和</w:t>
      </w:r>
      <w:r>
        <w:rPr>
          <w:rFonts w:hint="eastAsia" w:ascii="Times New Roman" w:hAnsi="Times New Roman" w:cs="Times New Roman"/>
          <w:sz w:val="18"/>
          <w:szCs w:val="16"/>
          <w:lang w:val="en-US" w:eastAsia="zh-CN"/>
        </w:rPr>
        <w:t>原因</w:t>
      </w:r>
      <w:r>
        <w:rPr>
          <w:rFonts w:hint="default" w:ascii="Times New Roman" w:hAnsi="Times New Roman" w:cs="Times New Roman"/>
          <w:sz w:val="18"/>
          <w:szCs w:val="16"/>
          <w:lang w:val="en-US" w:eastAsia="zh-CN"/>
        </w:rPr>
        <w:t>，为</w:t>
      </w:r>
      <w:r>
        <w:rPr>
          <w:rFonts w:hint="eastAsia" w:ascii="Times New Roman" w:hAnsi="Times New Roman" w:cs="Times New Roman"/>
          <w:sz w:val="18"/>
          <w:szCs w:val="16"/>
          <w:lang w:val="en-US" w:eastAsia="zh-CN"/>
        </w:rPr>
        <w:t>后续</w:t>
      </w:r>
      <w:r>
        <w:rPr>
          <w:rFonts w:hint="default" w:ascii="Times New Roman" w:hAnsi="Times New Roman" w:cs="Times New Roman"/>
          <w:sz w:val="18"/>
          <w:szCs w:val="16"/>
          <w:lang w:val="en-US" w:eastAsia="zh-CN"/>
        </w:rPr>
        <w:t>矿产资源规划编制提供改进意见和建议的行为。</w:t>
      </w:r>
    </w:p>
    <w:p>
      <w:pPr>
        <w:pStyle w:val="107"/>
        <w:keepNext w:val="0"/>
        <w:keepLines w:val="0"/>
        <w:pageBreakBefore w:val="0"/>
        <w:widowControl/>
        <w:kinsoku/>
        <w:wordWrap/>
        <w:overflowPunct/>
        <w:topLinePunct w:val="0"/>
        <w:autoSpaceDE/>
        <w:autoSpaceDN/>
        <w:bidi w:val="0"/>
        <w:adjustRightInd/>
        <w:snapToGrid/>
        <w:spacing w:before="312" w:after="312"/>
        <w:textAlignment w:val="auto"/>
        <w:rPr>
          <w:rFonts w:ascii="Times New Roman"/>
        </w:rPr>
      </w:pPr>
      <w:bookmarkStart w:id="84" w:name="_Toc152605169"/>
      <w:bookmarkStart w:id="85" w:name="_Toc153180418"/>
      <w:bookmarkStart w:id="86" w:name="_Toc153213902"/>
      <w:bookmarkStart w:id="87" w:name="_Toc153207338"/>
      <w:bookmarkStart w:id="88" w:name="_Toc153213848"/>
      <w:bookmarkStart w:id="89" w:name="_Toc152604326"/>
      <w:bookmarkStart w:id="90" w:name="_Toc153180472"/>
      <w:bookmarkStart w:id="91" w:name="_Toc153272203"/>
      <w:bookmarkStart w:id="92" w:name="_Toc10990"/>
      <w:bookmarkStart w:id="93" w:name="_Toc14336"/>
      <w:r>
        <w:rPr>
          <w:rFonts w:hint="eastAsia" w:ascii="Times New Roman"/>
          <w:lang w:eastAsia="zh-CN"/>
        </w:rPr>
        <w:t>基本</w:t>
      </w:r>
      <w:r>
        <w:rPr>
          <w:rFonts w:ascii="Times New Roman"/>
        </w:rPr>
        <w:t>要求</w:t>
      </w:r>
      <w:bookmarkEnd w:id="84"/>
      <w:bookmarkEnd w:id="85"/>
      <w:bookmarkEnd w:id="86"/>
      <w:bookmarkEnd w:id="87"/>
      <w:bookmarkEnd w:id="88"/>
      <w:bookmarkEnd w:id="89"/>
      <w:bookmarkEnd w:id="90"/>
      <w:bookmarkEnd w:id="91"/>
      <w:bookmarkEnd w:id="92"/>
      <w:bookmarkEnd w:id="93"/>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rPr>
      </w:pPr>
      <w:r>
        <w:rPr>
          <w:rFonts w:hint="eastAsia"/>
        </w:rPr>
        <w:t>4.1 应结合经济社会发展与矿产资源勘查开发环境新变化，深入分析规划实施进展情况，挖掘深层次矛盾和风险隐患，及时反映新情况、新问题，形成真实可靠的评估成果。</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outlineLvl w:val="1"/>
        <w:rPr>
          <w:rFonts w:hint="eastAsia"/>
        </w:rPr>
      </w:pPr>
      <w:bookmarkStart w:id="94" w:name="_Toc5775"/>
      <w:r>
        <w:rPr>
          <w:rFonts w:hint="eastAsia"/>
        </w:rPr>
        <w:t>4.2 评估范围应与规划范围一致。</w:t>
      </w:r>
      <w:bookmarkEnd w:id="94"/>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rPr>
      </w:pPr>
      <w:r>
        <w:rPr>
          <w:rFonts w:hint="eastAsia"/>
        </w:rPr>
        <w:t>4.3 应采用评估时点最新数据，亦可采用上一年度数据；数据单位按照DZ/T 0444执行。</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rPr>
      </w:pPr>
      <w:r>
        <w:rPr>
          <w:rFonts w:hint="eastAsia"/>
        </w:rPr>
        <w:t>4.4 评估内容由待评估的规划确定，规划未提出的目标任务可不评估。</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rPr>
      </w:pPr>
      <w:r>
        <w:rPr>
          <w:rFonts w:hint="eastAsia"/>
        </w:rPr>
        <w:t>4.5 规划明确提出的数量化目标指标，宜运用数量分析方法；规划提出的布局与分区、重点任务等内容，可采用定性评估方法。</w:t>
      </w:r>
    </w:p>
    <w:p>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rPr>
      </w:pPr>
      <w:r>
        <w:rPr>
          <w:rFonts w:hint="eastAsia"/>
        </w:rPr>
        <w:t>4.6 规划目标任务实现程度评估，应多维度、多角度选取对象进行对比分析，综合评价规划实施成效，总结差距与不足。</w:t>
      </w:r>
    </w:p>
    <w:p>
      <w:pPr>
        <w:pStyle w:val="107"/>
        <w:spacing w:before="312" w:after="312"/>
        <w:rPr>
          <w:rFonts w:ascii="Times New Roman"/>
        </w:rPr>
      </w:pPr>
      <w:bookmarkStart w:id="95" w:name="_Toc152604331"/>
      <w:bookmarkStart w:id="96" w:name="_Toc152605174"/>
      <w:bookmarkStart w:id="97" w:name="_Toc153180477"/>
      <w:bookmarkStart w:id="98" w:name="_Toc153213907"/>
      <w:bookmarkStart w:id="99" w:name="_Toc153213853"/>
      <w:bookmarkStart w:id="100" w:name="_Toc153272208"/>
      <w:bookmarkStart w:id="101" w:name="_Toc153207343"/>
      <w:bookmarkStart w:id="102" w:name="_Toc153180423"/>
      <w:bookmarkStart w:id="103" w:name="_Toc7698"/>
      <w:bookmarkStart w:id="104" w:name="_Toc23051"/>
      <w:r>
        <w:rPr>
          <w:rFonts w:hint="eastAsia" w:ascii="Times New Roman"/>
          <w:lang w:eastAsia="zh-CN"/>
        </w:rPr>
        <w:t>资料</w:t>
      </w:r>
      <w:r>
        <w:rPr>
          <w:rFonts w:ascii="Times New Roman"/>
        </w:rPr>
        <w:t>准备</w:t>
      </w:r>
      <w:bookmarkEnd w:id="95"/>
      <w:bookmarkEnd w:id="96"/>
      <w:bookmarkEnd w:id="97"/>
      <w:bookmarkEnd w:id="98"/>
      <w:bookmarkEnd w:id="99"/>
      <w:bookmarkEnd w:id="100"/>
      <w:bookmarkEnd w:id="101"/>
      <w:bookmarkEnd w:id="102"/>
      <w:bookmarkEnd w:id="103"/>
      <w:bookmarkEnd w:id="104"/>
    </w:p>
    <w:p>
      <w:pPr>
        <w:pStyle w:val="59"/>
        <w:rPr>
          <w:rFonts w:hint="eastAsia"/>
        </w:rPr>
      </w:pPr>
      <w:r>
        <w:rPr>
          <w:rFonts w:hint="eastAsia"/>
        </w:rPr>
        <w:t>通过资料收集、部门调研、矿山调研、问卷调查及召开座谈会等形式，收集规划目标任务的实施进展资料清单包括但不限于：</w:t>
      </w:r>
    </w:p>
    <w:p>
      <w:pPr>
        <w:pStyle w:val="59"/>
        <w:rPr>
          <w:rFonts w:hint="eastAsia"/>
        </w:rPr>
      </w:pPr>
      <w:r>
        <w:rPr>
          <w:rFonts w:hint="eastAsia"/>
        </w:rPr>
        <w:t>a)待评估的规划文本、附表、附图、数据库；</w:t>
      </w:r>
    </w:p>
    <w:p>
      <w:pPr>
        <w:pStyle w:val="59"/>
        <w:rPr>
          <w:rFonts w:hint="eastAsia"/>
        </w:rPr>
      </w:pPr>
      <w:r>
        <w:rPr>
          <w:rFonts w:hint="eastAsia"/>
        </w:rPr>
        <w:t>b)经项目单位验收完成的基础地质调查、矿产地质调查项目清单及对应的工作面积；</w:t>
      </w:r>
    </w:p>
    <w:p>
      <w:pPr>
        <w:pStyle w:val="59"/>
        <w:rPr>
          <w:rFonts w:hint="eastAsia"/>
        </w:rPr>
      </w:pPr>
      <w:r>
        <w:rPr>
          <w:rFonts w:hint="eastAsia"/>
        </w:rPr>
        <w:t>c)年度矿产资源储量表；</w:t>
      </w:r>
    </w:p>
    <w:p>
      <w:pPr>
        <w:pStyle w:val="59"/>
        <w:rPr>
          <w:rFonts w:hint="eastAsia"/>
        </w:rPr>
      </w:pPr>
      <w:r>
        <w:rPr>
          <w:rFonts w:hint="eastAsia"/>
        </w:rPr>
        <w:t>d)规划基期、截至评估时点矿产资源开发利用库；</w:t>
      </w:r>
    </w:p>
    <w:p>
      <w:pPr>
        <w:pStyle w:val="59"/>
        <w:rPr>
          <w:rFonts w:hint="eastAsia"/>
        </w:rPr>
      </w:pPr>
      <w:r>
        <w:rPr>
          <w:rFonts w:hint="eastAsia"/>
        </w:rPr>
        <w:t>e)规划基期、截至评估时点探采矿权数据库；</w:t>
      </w:r>
    </w:p>
    <w:p>
      <w:pPr>
        <w:pStyle w:val="59"/>
        <w:rPr>
          <w:rFonts w:hint="eastAsia"/>
        </w:rPr>
      </w:pPr>
      <w:r>
        <w:rPr>
          <w:rFonts w:hint="eastAsia"/>
        </w:rPr>
        <w:t>f)实施的重大工程或重点项目清单；</w:t>
      </w:r>
    </w:p>
    <w:p>
      <w:pPr>
        <w:pStyle w:val="59"/>
        <w:rPr>
          <w:rFonts w:hint="eastAsia"/>
        </w:rPr>
      </w:pPr>
      <w:r>
        <w:rPr>
          <w:rFonts w:hint="eastAsia"/>
        </w:rPr>
        <w:t>g)年度新立探采矿权名单；</w:t>
      </w:r>
    </w:p>
    <w:p>
      <w:pPr>
        <w:pStyle w:val="59"/>
      </w:pPr>
      <w:r>
        <w:rPr>
          <w:rFonts w:hint="eastAsia"/>
        </w:rPr>
        <w:t>出台的矿政管理改革或保障矿产资源规划实施的政策文件。</w:t>
      </w:r>
    </w:p>
    <w:p>
      <w:pPr>
        <w:pStyle w:val="107"/>
        <w:keepNext w:val="0"/>
        <w:keepLines w:val="0"/>
        <w:pageBreakBefore w:val="0"/>
        <w:widowControl/>
        <w:kinsoku/>
        <w:wordWrap/>
        <w:overflowPunct/>
        <w:topLinePunct w:val="0"/>
        <w:autoSpaceDE/>
        <w:autoSpaceDN/>
        <w:bidi w:val="0"/>
        <w:adjustRightInd/>
        <w:snapToGrid/>
        <w:spacing w:before="312" w:after="312"/>
        <w:textAlignment w:val="auto"/>
        <w:rPr>
          <w:rFonts w:ascii="Times New Roman"/>
        </w:rPr>
      </w:pPr>
      <w:bookmarkStart w:id="105" w:name="_Toc153213912"/>
      <w:bookmarkStart w:id="106" w:name="_Toc153180428"/>
      <w:bookmarkStart w:id="107" w:name="_Toc153272213"/>
      <w:bookmarkStart w:id="108" w:name="_Toc152604336"/>
      <w:bookmarkStart w:id="109" w:name="_Toc153213858"/>
      <w:bookmarkStart w:id="110" w:name="_Toc153207348"/>
      <w:bookmarkStart w:id="111" w:name="_Toc152605179"/>
      <w:bookmarkStart w:id="112" w:name="_Toc153180482"/>
      <w:bookmarkStart w:id="113" w:name="_Toc1771"/>
      <w:bookmarkStart w:id="114" w:name="_Toc29391"/>
      <w:r>
        <w:rPr>
          <w:rFonts w:hint="eastAsia" w:ascii="Times New Roman"/>
          <w:lang w:eastAsia="zh-CN"/>
        </w:rPr>
        <w:t>评估</w:t>
      </w:r>
      <w:r>
        <w:rPr>
          <w:rFonts w:ascii="Times New Roman"/>
        </w:rPr>
        <w:t>内容</w:t>
      </w:r>
      <w:bookmarkEnd w:id="105"/>
      <w:bookmarkEnd w:id="106"/>
      <w:bookmarkEnd w:id="107"/>
      <w:bookmarkEnd w:id="108"/>
      <w:bookmarkEnd w:id="109"/>
      <w:bookmarkEnd w:id="110"/>
      <w:bookmarkEnd w:id="111"/>
      <w:bookmarkEnd w:id="112"/>
      <w:bookmarkEnd w:id="113"/>
      <w:bookmarkEnd w:id="114"/>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outlineLvl w:val="1"/>
        <w:rPr>
          <w:rFonts w:hint="eastAsia" w:ascii="黑体" w:hAnsi="黑体" w:eastAsia="黑体" w:cs="黑体"/>
        </w:rPr>
      </w:pPr>
      <w:bookmarkStart w:id="115" w:name="_Toc15566"/>
      <w:r>
        <w:rPr>
          <w:rFonts w:hint="eastAsia" w:ascii="黑体" w:hAnsi="黑体" w:eastAsia="黑体" w:cs="黑体"/>
        </w:rPr>
        <w:t>6.1 规划目标指标</w:t>
      </w:r>
      <w:bookmarkEnd w:id="115"/>
    </w:p>
    <w:p>
      <w:pPr>
        <w:pStyle w:val="59"/>
        <w:ind w:left="0" w:leftChars="0" w:firstLine="420" w:firstLineChars="200"/>
        <w:rPr>
          <w:rFonts w:hint="eastAsia"/>
        </w:rPr>
      </w:pPr>
      <w:r>
        <w:rPr>
          <w:rFonts w:hint="eastAsia"/>
        </w:rPr>
        <w:t>矿产资源规划目标指标体系包括地质调查、矿产资源勘查、矿产资源开发利用、结构与效率、矿业绿色发展等类别。根据各规划指标的特点，在不同的评估阶段设定比对值，规划指标实际值与比对值对比分析得到实现程度，再根据同一类别各指标的实现程度确定各类别综合评级，具体评估方法见附录A。</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outlineLvl w:val="1"/>
        <w:rPr>
          <w:rFonts w:hint="eastAsia" w:ascii="黑体" w:hAnsi="黑体" w:eastAsia="黑体" w:cs="黑体"/>
        </w:rPr>
      </w:pPr>
      <w:bookmarkStart w:id="116" w:name="_Toc10269"/>
      <w:r>
        <w:rPr>
          <w:rFonts w:hint="eastAsia" w:ascii="黑体" w:hAnsi="黑体" w:eastAsia="黑体" w:cs="黑体"/>
        </w:rPr>
        <w:t>6.2 规划布局与分区</w:t>
      </w:r>
      <w:bookmarkEnd w:id="116"/>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6.2.1 勘查开发保护区域布局</w:t>
      </w:r>
    </w:p>
    <w:p>
      <w:pPr>
        <w:pStyle w:val="59"/>
        <w:ind w:left="0" w:leftChars="0" w:firstLine="420" w:firstLineChars="200"/>
        <w:rPr>
          <w:rFonts w:hint="eastAsia"/>
        </w:rPr>
      </w:pPr>
      <w:r>
        <w:rPr>
          <w:rFonts w:hint="eastAsia"/>
        </w:rPr>
        <w:t>本级规划确定的勘查开发保护区域布局，应重点评估区域矿产资源勘查开发利用重点方向、政策落实与规划引导方向的一致性，及不同区域内矿产资源开发与区域经济协调发展的做法与成效。</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6.2.2 能源资源安全保障布局</w:t>
      </w:r>
    </w:p>
    <w:p>
      <w:pPr>
        <w:pStyle w:val="59"/>
        <w:ind w:left="0" w:leftChars="0" w:firstLine="420" w:firstLineChars="200"/>
        <w:rPr>
          <w:rFonts w:hint="eastAsia"/>
        </w:rPr>
      </w:pPr>
      <w:r>
        <w:rPr>
          <w:rFonts w:hint="eastAsia"/>
        </w:rPr>
        <w:t>上级规划确定的能源资源安全保障布局，宜从生产力布局、基础设施建设、资源配置、重大项目安排等方面进行评估，重点对规划矿种新增查明资源量、主要矿种开发利用产能与产量等情况进行评估，提炼矿产资源开发聚集、科技创新、矿业绿色发展的典型经验和做法。</w:t>
      </w:r>
    </w:p>
    <w:p>
      <w:pPr>
        <w:pStyle w:val="59"/>
        <w:keepNext w:val="0"/>
        <w:keepLines w:val="0"/>
        <w:pageBreakBefore w:val="0"/>
        <w:widowControl/>
        <w:kinsoku/>
        <w:wordWrap/>
        <w:overflowPunct/>
        <w:topLinePunct w:val="0"/>
        <w:autoSpaceDE w:val="0"/>
        <w:autoSpaceDN w:val="0"/>
        <w:bidi w:val="0"/>
        <w:adjustRightInd/>
        <w:snapToGrid/>
        <w:ind w:left="0" w:leftChars="0" w:firstLine="360" w:firstLineChars="200"/>
        <w:textAlignment w:val="auto"/>
        <w:rPr>
          <w:rFonts w:hint="eastAsia"/>
        </w:rPr>
      </w:pPr>
      <w:r>
        <w:rPr>
          <w:rFonts w:hint="eastAsia" w:ascii="Times New Roman" w:hAnsi="Times New Roman" w:eastAsia="宋体" w:cs="Times New Roman"/>
          <w:sz w:val="18"/>
          <w:szCs w:val="16"/>
          <w:lang w:val="en-US" w:eastAsia="zh-CN" w:bidi="ar-SA"/>
        </w:rPr>
        <w:t>注：能源资源安全保障布局包括能源资源基地、国家规划矿区、战略性矿产资源储备区</w:t>
      </w:r>
      <w:r>
        <w:rPr>
          <w:rFonts w:hint="eastAsia"/>
        </w:rPr>
        <w:t>。</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6.2.3 矿产勘查开采工作布局</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6.2.3.1 重点勘查区</w:t>
      </w:r>
    </w:p>
    <w:p>
      <w:pPr>
        <w:pStyle w:val="59"/>
        <w:ind w:left="0" w:leftChars="0" w:firstLine="420" w:firstLineChars="200"/>
        <w:rPr>
          <w:rFonts w:hint="eastAsia"/>
        </w:rPr>
      </w:pPr>
      <w:r>
        <w:rPr>
          <w:rFonts w:hint="eastAsia"/>
        </w:rPr>
        <w:t>上级规划和本级规划确定的重点勘查区，应评估矿产资源勘查任务落实情况及勘查成效，重点对新增查明资源量、财政出资勘查项目、新立探矿权，以及勘查规划区块投放等情况进行评估。</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6.2.3.2 重点开采区</w:t>
      </w:r>
    </w:p>
    <w:p>
      <w:pPr>
        <w:pStyle w:val="59"/>
        <w:ind w:left="0" w:leftChars="0" w:firstLine="420" w:firstLineChars="200"/>
        <w:rPr>
          <w:rFonts w:hint="eastAsia"/>
        </w:rPr>
      </w:pPr>
      <w:r>
        <w:rPr>
          <w:rFonts w:hint="eastAsia"/>
        </w:rPr>
        <w:t>上级规划和本级规划确定的重点开采区，应评估矿产资源开发利用任务落实情况及开发利用调控成效，重点对矿山规模结构、主要矿产品产能、产量、新立采矿权，以及开采规划区块投放等情况进行评估。</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6.2.3.3 砂石土矿集中开采区</w:t>
      </w:r>
    </w:p>
    <w:p>
      <w:pPr>
        <w:pStyle w:val="59"/>
        <w:ind w:left="0" w:leftChars="0" w:firstLine="420" w:firstLineChars="200"/>
        <w:rPr>
          <w:rFonts w:hint="eastAsia"/>
        </w:rPr>
      </w:pPr>
      <w:r>
        <w:rPr>
          <w:rFonts w:hint="eastAsia"/>
        </w:rPr>
        <w:t>本级规划确定的砂石土矿集中开采区，应评估引导砂石土资源规模化绿色化开采成效，结合集中开采区总量调控、最低开采规模、生态保护等准入要求，重点对砂石土矿的投放情况进行评估。</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outlineLvl w:val="1"/>
        <w:rPr>
          <w:rFonts w:hint="eastAsia" w:ascii="黑体" w:hAnsi="黑体" w:eastAsia="黑体" w:cs="黑体"/>
        </w:rPr>
      </w:pPr>
      <w:bookmarkStart w:id="117" w:name="_Toc14267"/>
      <w:r>
        <w:rPr>
          <w:rFonts w:hint="eastAsia" w:ascii="黑体" w:hAnsi="黑体" w:eastAsia="黑体" w:cs="黑体"/>
        </w:rPr>
        <w:t>6.3 规划重点任务</w:t>
      </w:r>
      <w:bookmarkEnd w:id="117"/>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6.3.1 矿产资源调查评价与勘查</w:t>
      </w:r>
    </w:p>
    <w:p>
      <w:pPr>
        <w:pStyle w:val="59"/>
        <w:ind w:left="0" w:leftChars="0" w:firstLine="420" w:firstLineChars="200"/>
        <w:rPr>
          <w:rFonts w:hint="eastAsia"/>
        </w:rPr>
      </w:pPr>
      <w:r>
        <w:rPr>
          <w:rFonts w:hint="eastAsia"/>
        </w:rPr>
        <w:t>逐项评估规划提出的基础地质调查、矿产资源调查评价、矿产资源勘查，以及勘查空间管控等任务的开展情况和实施效果，具备条件的，宜采用量化表述。结合找矿突破等需求，分析勘查规划区块实施情况。</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6.3.2 矿产资源开发利用与保护</w:t>
      </w:r>
    </w:p>
    <w:p>
      <w:pPr>
        <w:pStyle w:val="59"/>
        <w:ind w:left="0" w:leftChars="0" w:firstLine="420" w:firstLineChars="200"/>
        <w:rPr>
          <w:rFonts w:hint="eastAsia"/>
        </w:rPr>
      </w:pPr>
      <w:r>
        <w:rPr>
          <w:rFonts w:hint="eastAsia"/>
        </w:rPr>
        <w:t>逐项评估规划提出的促进增产达产、总量控制、矿山规模结构优化、空间管控约束、准入管理等任务要求的落实情况和实施成效，具备条件的，宜采用量化表述。结合经济社会发展重要用矿需求，分析开采规划区块实施情况。</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s="黑体"/>
        </w:rPr>
      </w:pPr>
      <w:r>
        <w:rPr>
          <w:rFonts w:hint="eastAsia" w:ascii="黑体" w:hAnsi="黑体" w:eastAsia="黑体" w:cs="黑体"/>
        </w:rPr>
        <w:t>6.3.3 矿业绿色发展</w:t>
      </w:r>
    </w:p>
    <w:p>
      <w:pPr>
        <w:pStyle w:val="59"/>
        <w:ind w:left="0" w:leftChars="0" w:firstLine="420" w:firstLineChars="200"/>
        <w:rPr>
          <w:rFonts w:hint="eastAsia"/>
        </w:rPr>
      </w:pPr>
      <w:r>
        <w:rPr>
          <w:rFonts w:hint="eastAsia"/>
        </w:rPr>
        <w:t xml:space="preserve">逐项评估规划提出的推进绿色勘查、绿色开采、绿色矿山建设、科技创新或矿山地质环境保护与修复等任务的落实情况；提炼能够发挥引领示范效应的绿色勘查、绿开采新理论、新方法、新设备和新工艺，以及推动矿业绿色转型升级的举措与做法。 </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outlineLvl w:val="1"/>
        <w:rPr>
          <w:rFonts w:hint="eastAsia" w:ascii="黑体" w:hAnsi="黑体" w:eastAsia="黑体" w:cs="黑体"/>
        </w:rPr>
      </w:pPr>
      <w:bookmarkStart w:id="118" w:name="_Toc19442"/>
      <w:r>
        <w:rPr>
          <w:rFonts w:hint="eastAsia" w:ascii="黑体" w:hAnsi="黑体" w:eastAsia="黑体" w:cs="黑体"/>
        </w:rPr>
        <w:t>6.4 重大工程或重点项目</w:t>
      </w:r>
      <w:bookmarkEnd w:id="118"/>
    </w:p>
    <w:p>
      <w:pPr>
        <w:pStyle w:val="59"/>
        <w:ind w:left="0" w:leftChars="0" w:firstLine="420" w:firstLineChars="200"/>
        <w:rPr>
          <w:rFonts w:hint="eastAsia"/>
        </w:rPr>
      </w:pPr>
      <w:r>
        <w:rPr>
          <w:rFonts w:hint="eastAsia"/>
        </w:rPr>
        <w:t>评估规划提出的基础地质、调查评价、资源勘查、节约利用、绿色发展等重大工程或重点项目，按“已完成”、“已实施”、“未实施”对进展情况进行说明。</w:t>
      </w:r>
    </w:p>
    <w:p>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outlineLvl w:val="1"/>
        <w:rPr>
          <w:rFonts w:hint="eastAsia" w:ascii="黑体" w:hAnsi="黑体" w:eastAsia="黑体" w:cs="黑体"/>
        </w:rPr>
      </w:pPr>
      <w:bookmarkStart w:id="119" w:name="_Toc24329"/>
      <w:r>
        <w:rPr>
          <w:rFonts w:hint="eastAsia" w:ascii="黑体" w:hAnsi="黑体" w:eastAsia="黑体" w:cs="黑体"/>
        </w:rPr>
        <w:t>6.5 规划实施与管理</w:t>
      </w:r>
      <w:bookmarkEnd w:id="119"/>
    </w:p>
    <w:p>
      <w:pPr>
        <w:pStyle w:val="59"/>
        <w:ind w:left="0" w:leftChars="0" w:firstLine="420" w:firstLineChars="200"/>
        <w:rPr>
          <w:rFonts w:hint="eastAsia"/>
        </w:rPr>
      </w:pPr>
      <w:r>
        <w:rPr>
          <w:rFonts w:hint="eastAsia"/>
        </w:rPr>
        <w:t>应评估规划管理制度建设和执行，保障规划实施相关政策的出台，查处和纠正违反规划的行为，规划或勘查开采规划区块的调整等情况。评价矿产资源勘查开发管理体制机制改革方面的做法与意义。</w:t>
      </w:r>
    </w:p>
    <w:p>
      <w:pPr>
        <w:pStyle w:val="59"/>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textAlignment w:val="auto"/>
        <w:outlineLvl w:val="0"/>
        <w:rPr>
          <w:rFonts w:hint="eastAsia" w:ascii="黑体" w:hAnsi="黑体" w:eastAsia="黑体" w:cs="黑体"/>
        </w:rPr>
      </w:pPr>
      <w:bookmarkStart w:id="120" w:name="_Toc11201"/>
      <w:r>
        <w:rPr>
          <w:rFonts w:hint="eastAsia" w:ascii="黑体" w:hAnsi="黑体" w:eastAsia="黑体" w:cs="黑体"/>
        </w:rPr>
        <w:t>7 成果</w:t>
      </w:r>
      <w:bookmarkEnd w:id="120"/>
    </w:p>
    <w:p>
      <w:pPr>
        <w:pStyle w:val="59"/>
        <w:ind w:left="0" w:leftChars="0" w:firstLine="420" w:firstLineChars="200"/>
        <w:outlineLvl w:val="9"/>
      </w:pPr>
      <w:r>
        <w:rPr>
          <w:rFonts w:hint="eastAsia"/>
        </w:rPr>
        <w:t>评估报告内容应全面系统、重点突出，真实客观的反映评估结论与成果。评估报告编写提纲见附录B。</w:t>
      </w:r>
    </w:p>
    <w:p>
      <w:pPr>
        <w:pStyle w:val="59"/>
        <w:ind w:firstLine="420"/>
        <w:outlineLvl w:val="9"/>
        <w:rPr>
          <w:rFonts w:ascii="Times New Roman"/>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32"/>
    <w:p>
      <w:pPr>
        <w:pStyle w:val="201"/>
        <w:rPr>
          <w:rFonts w:ascii="Times New Roman" w:hAnsi="Times New Roman"/>
          <w:vanish w:val="0"/>
        </w:rPr>
      </w:pPr>
      <w:bookmarkStart w:id="121" w:name="BookMark5"/>
    </w:p>
    <w:p>
      <w:pPr>
        <w:pStyle w:val="202"/>
        <w:rPr>
          <w:rFonts w:ascii="Times New Roman"/>
          <w:vanish w:val="0"/>
        </w:rPr>
      </w:pPr>
    </w:p>
    <w:p>
      <w:pPr>
        <w:pStyle w:val="79"/>
        <w:spacing w:after="156"/>
        <w:rPr>
          <w:rFonts w:ascii="Times New Roman"/>
        </w:rPr>
      </w:pPr>
      <w:bookmarkStart w:id="122" w:name="_Toc13570"/>
      <w:bookmarkStart w:id="123" w:name="_Toc5138"/>
      <w:r>
        <w:rPr>
          <w:rFonts w:ascii="Times New Roman"/>
        </w:rPr>
        <w:br w:type="textWrapping"/>
      </w:r>
      <w:bookmarkStart w:id="124" w:name="_Toc153207370"/>
      <w:bookmarkStart w:id="125" w:name="_Toc153180504"/>
      <w:bookmarkStart w:id="126" w:name="_Toc153180450"/>
      <w:bookmarkStart w:id="127" w:name="_Toc153213880"/>
      <w:bookmarkStart w:id="128" w:name="_Toc152605201"/>
      <w:bookmarkStart w:id="129" w:name="_Toc153213934"/>
      <w:bookmarkStart w:id="130" w:name="_Toc152604358"/>
      <w:bookmarkStart w:id="131" w:name="_Toc153272235"/>
      <w:r>
        <w:rPr>
          <w:rFonts w:ascii="Times New Roman"/>
        </w:rPr>
        <w:t>（</w:t>
      </w:r>
      <w:r>
        <w:rPr>
          <w:rFonts w:hint="eastAsia" w:ascii="Times New Roman"/>
          <w:lang w:eastAsia="zh-CN"/>
        </w:rPr>
        <w:t>规范</w:t>
      </w:r>
      <w:r>
        <w:rPr>
          <w:rFonts w:ascii="Times New Roman"/>
        </w:rPr>
        <w:t>性）</w:t>
      </w:r>
      <w:r>
        <w:rPr>
          <w:rFonts w:ascii="Times New Roman"/>
        </w:rPr>
        <w:br w:type="textWrapping"/>
      </w:r>
      <w:bookmarkEnd w:id="124"/>
      <w:bookmarkEnd w:id="125"/>
      <w:bookmarkEnd w:id="126"/>
      <w:bookmarkEnd w:id="127"/>
      <w:bookmarkEnd w:id="128"/>
      <w:bookmarkEnd w:id="129"/>
      <w:bookmarkEnd w:id="130"/>
      <w:bookmarkEnd w:id="131"/>
      <w:r>
        <w:rPr>
          <w:rFonts w:hint="eastAsia" w:ascii="Times New Roman"/>
        </w:rPr>
        <w:t>规划目标指标实施成效评估</w:t>
      </w:r>
      <w:bookmarkEnd w:id="122"/>
      <w:bookmarkEnd w:id="123"/>
    </w:p>
    <w:p>
      <w:pPr>
        <w:pStyle w:val="24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A.1 评估指标体系</w:t>
      </w: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0" w:firstLineChars="0"/>
        <w:jc w:val="both"/>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 xml:space="preserve">   </w:t>
      </w:r>
      <w:r>
        <w:rPr>
          <w:rFonts w:hint="eastAsia" w:ascii="宋体" w:hAnsi="宋体" w:eastAsia="宋体" w:cs="宋体"/>
          <w:b w:val="0"/>
          <w:bCs w:val="0"/>
          <w:color w:val="auto"/>
          <w:kern w:val="0"/>
          <w:sz w:val="21"/>
          <w:szCs w:val="22"/>
          <w:lang w:val="en-US" w:eastAsia="zh-CN" w:bidi="ar-SA"/>
        </w:rPr>
        <w:t>矿产资源规划评估指标</w:t>
      </w:r>
      <w:r>
        <w:rPr>
          <w:rFonts w:hint="eastAsia" w:hAnsi="宋体" w:cs="宋体"/>
          <w:b w:val="0"/>
          <w:bCs w:val="0"/>
          <w:color w:val="auto"/>
          <w:kern w:val="0"/>
          <w:sz w:val="21"/>
          <w:szCs w:val="22"/>
          <w:lang w:val="en-US" w:eastAsia="zh-CN" w:bidi="ar-SA"/>
        </w:rPr>
        <w:t>体系</w:t>
      </w:r>
      <w:r>
        <w:rPr>
          <w:rFonts w:hint="eastAsia" w:ascii="宋体" w:hAnsi="宋体" w:eastAsia="宋体" w:cs="宋体"/>
          <w:b w:val="0"/>
          <w:bCs w:val="0"/>
          <w:color w:val="auto"/>
          <w:kern w:val="0"/>
          <w:sz w:val="21"/>
          <w:szCs w:val="22"/>
          <w:lang w:val="en-US" w:eastAsia="zh-CN" w:bidi="ar-SA"/>
        </w:rPr>
        <w:t>见表A.1。</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default"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表A.1 矿产资源规划指标评估体系表</w:t>
      </w:r>
    </w:p>
    <w:tbl>
      <w:tblPr>
        <w:tblStyle w:val="29"/>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17"/>
        <w:gridCol w:w="5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6" w:type="pct"/>
            <w:noWrap w:val="0"/>
            <w:vAlign w:val="top"/>
          </w:tcPr>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color w:val="auto"/>
                <w:kern w:val="0"/>
                <w:sz w:val="21"/>
                <w:szCs w:val="22"/>
                <w:vertAlign w:val="baseline"/>
                <w:lang w:val="en-US" w:eastAsia="zh-CN" w:bidi="ar-SA"/>
              </w:rPr>
            </w:pPr>
            <w:r>
              <w:rPr>
                <w:rFonts w:hint="eastAsia" w:ascii="Times New Roman" w:cs="Times New Roman"/>
                <w:color w:val="auto"/>
                <w:kern w:val="0"/>
                <w:sz w:val="21"/>
                <w:szCs w:val="22"/>
                <w:vertAlign w:val="baseline"/>
                <w:lang w:val="en-US" w:eastAsia="zh-CN" w:bidi="ar-SA"/>
              </w:rPr>
              <w:t>类别</w:t>
            </w:r>
          </w:p>
        </w:tc>
        <w:tc>
          <w:tcPr>
            <w:tcW w:w="1119" w:type="pct"/>
            <w:noWrap w:val="0"/>
            <w:vAlign w:val="top"/>
          </w:tcPr>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color w:val="auto"/>
                <w:kern w:val="0"/>
                <w:sz w:val="21"/>
                <w:szCs w:val="22"/>
                <w:vertAlign w:val="baseline"/>
                <w:lang w:val="en-US" w:eastAsia="zh-CN" w:bidi="ar-SA"/>
              </w:rPr>
            </w:pPr>
            <w:r>
              <w:rPr>
                <w:rFonts w:hint="eastAsia" w:ascii="Times New Roman" w:cs="Times New Roman"/>
                <w:color w:val="auto"/>
                <w:kern w:val="0"/>
                <w:sz w:val="21"/>
                <w:szCs w:val="22"/>
                <w:vertAlign w:val="baseline"/>
                <w:lang w:val="en-US" w:eastAsia="zh-CN" w:bidi="ar-SA"/>
              </w:rPr>
              <w:t>评估指标</w:t>
            </w:r>
          </w:p>
        </w:tc>
        <w:tc>
          <w:tcPr>
            <w:tcW w:w="3074" w:type="pct"/>
            <w:noWrap w:val="0"/>
            <w:vAlign w:val="top"/>
          </w:tcPr>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jc w:val="center"/>
              <w:textAlignment w:val="auto"/>
              <w:outlineLvl w:val="9"/>
              <w:rPr>
                <w:rFonts w:hint="default" w:ascii="Times New Roman" w:hAnsi="Times New Roman" w:cs="Times New Roman"/>
                <w:color w:val="auto"/>
                <w:kern w:val="0"/>
                <w:sz w:val="21"/>
                <w:szCs w:val="22"/>
                <w:vertAlign w:val="baseline"/>
                <w:lang w:val="en-US" w:eastAsia="zh-CN" w:bidi="ar-SA"/>
              </w:rPr>
            </w:pPr>
            <w:r>
              <w:rPr>
                <w:rFonts w:hint="eastAsia" w:ascii="Times New Roman" w:cs="Times New Roman"/>
                <w:color w:val="auto"/>
                <w:kern w:val="0"/>
                <w:sz w:val="21"/>
                <w:szCs w:val="22"/>
                <w:vertAlign w:val="baseline"/>
                <w:lang w:val="en-US" w:eastAsia="zh-CN" w:bidi="ar-S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地质调查</w:t>
            </w: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基础调查评价</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eastAsia" w:asci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表征基础地质调查工作程度，用经项目单位验收完成的区域地质调查工作面积来表示。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矿产地质调查</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表征矿产地质调查工作程度，用经项目单位验收完成的不同比例尺矿产地质调查工作面积来表示。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矿产</w:t>
            </w:r>
            <w:r>
              <w:rPr>
                <w:rFonts w:hint="eastAsia" w:ascii="Times New Roman" w:cs="Times New Roman"/>
                <w:color w:val="auto"/>
                <w:kern w:val="0"/>
                <w:sz w:val="18"/>
                <w:szCs w:val="18"/>
                <w:vertAlign w:val="baseline"/>
                <w:lang w:val="en-US" w:eastAsia="zh-CN" w:bidi="ar-SA"/>
              </w:rPr>
              <w:t>资源</w:t>
            </w:r>
            <w:r>
              <w:rPr>
                <w:rFonts w:hint="default" w:ascii="Times New Roman" w:hAnsi="Times New Roman" w:cs="Times New Roman"/>
                <w:color w:val="auto"/>
                <w:kern w:val="0"/>
                <w:sz w:val="18"/>
                <w:szCs w:val="18"/>
                <w:vertAlign w:val="baseline"/>
                <w:lang w:val="en-US" w:eastAsia="zh-CN" w:bidi="ar-SA"/>
              </w:rPr>
              <w:t>勘查</w:t>
            </w: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新发现大中型矿产地</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left"/>
              <w:textAlignment w:val="auto"/>
              <w:outlineLvl w:val="9"/>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大中型矿产地数量参照</w:t>
            </w:r>
            <w:r>
              <w:rPr>
                <w:rFonts w:hint="default" w:ascii="Times New Roman" w:hAnsi="Times New Roman" w:cs="Times New Roman"/>
                <w:sz w:val="18"/>
                <w:szCs w:val="18"/>
                <w:lang w:val="en-US" w:eastAsia="zh-CN"/>
              </w:rPr>
              <w:t>DZ/T 0400 矿产资源储量规模划分标准</w:t>
            </w:r>
            <w:r>
              <w:rPr>
                <w:rFonts w:hint="eastAsia" w:ascii="Times New Roman" w:cs="Times New Roman"/>
                <w:sz w:val="18"/>
                <w:szCs w:val="18"/>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新增查明资源量</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表征矿产资源勘查工作成效，指通过矿产资源勘查工作获得并经评审备案的资源量，分矿种统计评估。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矿产资源开发利用</w:t>
            </w: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年开采量</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表征</w:t>
            </w:r>
            <w:r>
              <w:rPr>
                <w:rFonts w:hint="eastAsia" w:ascii="Times New Roman" w:cs="Times New Roman"/>
                <w:color w:val="auto"/>
                <w:kern w:val="0"/>
                <w:sz w:val="18"/>
                <w:szCs w:val="18"/>
                <w:lang w:val="en-US" w:eastAsia="zh-CN" w:bidi="ar-SA"/>
              </w:rPr>
              <w:t>规划矿种年度实际产能或总设计生产能力</w:t>
            </w:r>
            <w:r>
              <w:rPr>
                <w:rFonts w:hint="eastAsia" w:ascii="Times New Roman" w:cs="Times New Roman"/>
                <w:color w:val="auto"/>
                <w:kern w:val="0"/>
                <w:sz w:val="18"/>
                <w:szCs w:val="18"/>
                <w:vertAlign w:val="baseline"/>
                <w:lang w:val="en-US" w:eastAsia="zh-CN" w:bidi="ar-SA"/>
              </w:rPr>
              <w:t>，分矿种统计评估。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pct"/>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结构与效率</w:t>
            </w: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矿山总数</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指规划区内矿山数量总和，可根据管理需求分矿种、分类别、分行业等设定指标，如固体矿产矿山总数、煤炭矿山总数、金属矿山总数等。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6" w:type="pct"/>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大中型矿山数量占比</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大中型矿山数量占矿山总数的百分比，矿山生产规模划分应与矿业权人勘查开采信息公示系统一致。可分矿种设定，如金矿大中型矿山占比。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固体矿产小型矿山</w:t>
            </w:r>
          </w:p>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数量减少比例</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固体矿产小型矿山数量相较基期的减少数占基期固体小型矿山总数的百分比。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06" w:type="pct"/>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“三率”水平</w:t>
            </w:r>
            <w:r>
              <w:rPr>
                <w:rFonts w:hint="eastAsia" w:ascii="Times New Roman" w:cs="Times New Roman"/>
                <w:color w:val="auto"/>
                <w:kern w:val="0"/>
                <w:sz w:val="18"/>
                <w:szCs w:val="18"/>
                <w:vertAlign w:val="baseline"/>
                <w:lang w:val="en-US" w:eastAsia="zh-CN" w:bidi="ar-SA"/>
              </w:rPr>
              <w:t>提高比例</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包括开采回采率提高比例、选矿回收率提高比例、共伴生矿产综合利用率提高比例（以下简称三率）等三项指标，各提高值是与基期“三率”值对比得到的结果。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矿业绿色发展</w:t>
            </w:r>
          </w:p>
        </w:tc>
        <w:tc>
          <w:tcPr>
            <w:tcW w:w="1119"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绿色矿山建设率</w:t>
            </w:r>
          </w:p>
        </w:tc>
        <w:tc>
          <w:tcPr>
            <w:tcW w:w="3074" w:type="pc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指规划区内达到绿色矿山建设标准要求的矿山数量占全部矿山数量的百分比。可分矿类进行分析评估。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jc w:val="left"/>
              <w:textAlignment w:val="auto"/>
              <w:outlineLvl w:val="9"/>
              <w:rPr>
                <w:rFonts w:hint="default" w:asci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注1：对于省级、市县级矿产资源规划，以及各专项规划中的指标，未在本指标表体现的，可参照上述指标评估方法进行评估，并在评估报告中予以说明。</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 规划指标评估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A.2.1 地质调查实施成效评估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A.2.1.1 指标评估</w:t>
      </w:r>
    </w:p>
    <w:p>
      <w:pPr>
        <w:pStyle w:val="247"/>
        <w:keepNext w:val="0"/>
        <w:keepLines w:val="0"/>
        <w:pageBreakBefore w:val="0"/>
        <w:widowControl/>
        <w:numPr>
          <w:ilvl w:val="0"/>
          <w:numId w:val="0"/>
        </w:numPr>
        <w:kinsoku/>
        <w:wordWrap/>
        <w:overflowPunct/>
        <w:topLinePunct w:val="0"/>
        <w:autoSpaceDE/>
        <w:autoSpaceDN/>
        <w:bidi w:val="0"/>
        <w:adjustRightInd/>
        <w:snapToGrid/>
        <w:spacing w:after="0"/>
        <w:ind w:left="0" w:leftChars="0" w:firstLine="420" w:firstLineChars="200"/>
        <w:jc w:val="left"/>
        <w:textAlignment w:val="auto"/>
        <w:outlineLvl w:val="9"/>
        <w:rPr>
          <w:rFonts w:hint="default" w:ascii="Times New Roman" w:cs="Times New Roman"/>
          <w:b w:val="0"/>
          <w:bCs w:val="0"/>
          <w:color w:val="auto"/>
          <w:kern w:val="0"/>
          <w:sz w:val="21"/>
          <w:szCs w:val="21"/>
          <w:lang w:val="en-US" w:eastAsia="zh-CN" w:bidi="ar-SA"/>
        </w:rPr>
      </w:pPr>
      <w:r>
        <w:rPr>
          <w:rFonts w:hint="default" w:ascii="Times New Roman" w:cs="Times New Roman"/>
          <w:b w:val="0"/>
          <w:bCs w:val="0"/>
          <w:color w:val="auto"/>
          <w:kern w:val="0"/>
          <w:sz w:val="21"/>
          <w:szCs w:val="21"/>
          <w:lang w:val="en-US" w:eastAsia="zh-CN" w:bidi="ar-SA"/>
        </w:rPr>
        <w:t>通过</w:t>
      </w:r>
      <w:r>
        <w:rPr>
          <w:rFonts w:hint="default" w:ascii="Times New Roman" w:eastAsia="宋体" w:cs="Times New Roman"/>
          <w:b w:val="0"/>
          <w:bCs w:val="0"/>
          <w:color w:val="auto"/>
          <w:kern w:val="0"/>
          <w:sz w:val="21"/>
          <w:szCs w:val="21"/>
          <w:lang w:val="en-US" w:eastAsia="zh-CN" w:bidi="ar-SA"/>
        </w:rPr>
        <w:t>矿产地质调查、</w:t>
      </w:r>
      <w:r>
        <w:rPr>
          <w:rFonts w:hint="default" w:ascii="Times New Roman" w:cs="Times New Roman"/>
          <w:b w:val="0"/>
          <w:bCs w:val="0"/>
          <w:color w:val="auto"/>
          <w:kern w:val="0"/>
          <w:sz w:val="21"/>
          <w:szCs w:val="21"/>
          <w:lang w:val="en-US" w:eastAsia="zh-CN" w:bidi="ar-SA"/>
        </w:rPr>
        <w:t>基础调查</w:t>
      </w:r>
      <w:r>
        <w:rPr>
          <w:rFonts w:hint="eastAsia" w:ascii="Times New Roman" w:cs="Times New Roman"/>
          <w:b w:val="0"/>
          <w:bCs w:val="0"/>
          <w:color w:val="auto"/>
          <w:kern w:val="0"/>
          <w:sz w:val="21"/>
          <w:szCs w:val="21"/>
          <w:lang w:val="en-US" w:eastAsia="zh-CN" w:bidi="ar-SA"/>
        </w:rPr>
        <w:t>评价</w:t>
      </w:r>
      <w:r>
        <w:rPr>
          <w:rFonts w:hint="default" w:ascii="Times New Roman" w:cs="Times New Roman"/>
          <w:b w:val="0"/>
          <w:bCs w:val="0"/>
          <w:color w:val="auto"/>
          <w:kern w:val="0"/>
          <w:sz w:val="21"/>
          <w:szCs w:val="21"/>
          <w:lang w:val="en-US" w:eastAsia="zh-CN" w:bidi="ar-SA"/>
        </w:rPr>
        <w:t>目标指标实际完成值与</w:t>
      </w:r>
      <w:r>
        <w:rPr>
          <w:rFonts w:hint="eastAsia" w:ascii="Times New Roman" w:cs="Times New Roman"/>
          <w:b w:val="0"/>
          <w:bCs w:val="0"/>
          <w:color w:val="auto"/>
          <w:kern w:val="0"/>
          <w:sz w:val="21"/>
          <w:szCs w:val="21"/>
          <w:lang w:val="en-US" w:eastAsia="zh-CN" w:bidi="ar-SA"/>
        </w:rPr>
        <w:t>比对</w:t>
      </w:r>
      <w:r>
        <w:rPr>
          <w:rFonts w:hint="default" w:ascii="Times New Roman" w:cs="Times New Roman"/>
          <w:b w:val="0"/>
          <w:bCs w:val="0"/>
          <w:color w:val="auto"/>
          <w:kern w:val="0"/>
          <w:sz w:val="21"/>
          <w:szCs w:val="21"/>
          <w:lang w:val="en-US" w:eastAsia="zh-CN" w:bidi="ar-SA"/>
        </w:rPr>
        <w:t>值</w:t>
      </w:r>
      <w:r>
        <w:rPr>
          <w:rFonts w:hint="eastAsia" w:ascii="Times New Roman" w:cs="Times New Roman"/>
          <w:b w:val="0"/>
          <w:bCs w:val="0"/>
          <w:color w:val="auto"/>
          <w:kern w:val="0"/>
          <w:sz w:val="21"/>
          <w:szCs w:val="21"/>
          <w:lang w:val="en-US" w:eastAsia="zh-CN" w:bidi="ar-SA"/>
        </w:rPr>
        <w:t>对比</w:t>
      </w:r>
      <w:r>
        <w:rPr>
          <w:rFonts w:hint="default" w:ascii="Times New Roman" w:cs="Times New Roman"/>
          <w:b w:val="0"/>
          <w:bCs w:val="0"/>
          <w:color w:val="auto"/>
          <w:kern w:val="0"/>
          <w:sz w:val="21"/>
          <w:szCs w:val="21"/>
          <w:lang w:val="en-US" w:eastAsia="zh-CN" w:bidi="ar-SA"/>
        </w:rPr>
        <w:t>，将</w:t>
      </w:r>
      <w:r>
        <w:rPr>
          <w:rFonts w:hint="eastAsia" w:ascii="Times New Roman" w:cs="Times New Roman"/>
          <w:b w:val="0"/>
          <w:bCs w:val="0"/>
          <w:color w:val="auto"/>
          <w:kern w:val="0"/>
          <w:sz w:val="21"/>
          <w:szCs w:val="21"/>
          <w:lang w:val="en-US" w:eastAsia="zh-CN" w:bidi="ar-SA"/>
        </w:rPr>
        <w:t>比值</w:t>
      </w:r>
      <w:r>
        <w:rPr>
          <w:rFonts w:hint="default" w:ascii="Times New Roman" w:cs="Times New Roman"/>
          <w:b w:val="0"/>
          <w:bCs w:val="0"/>
          <w:color w:val="auto"/>
          <w:kern w:val="0"/>
          <w:sz w:val="21"/>
          <w:szCs w:val="21"/>
          <w:lang w:val="en-US" w:eastAsia="zh-CN" w:bidi="ar-SA"/>
        </w:rPr>
        <w:t>小于</w:t>
      </w:r>
      <w:r>
        <w:rPr>
          <w:rFonts w:hint="eastAsia" w:ascii="Times New Roman" w:cs="Times New Roman"/>
          <w:b w:val="0"/>
          <w:bCs w:val="0"/>
          <w:color w:val="auto"/>
          <w:kern w:val="0"/>
          <w:sz w:val="21"/>
          <w:szCs w:val="21"/>
          <w:lang w:val="en-US" w:eastAsia="zh-CN" w:bidi="ar-SA"/>
        </w:rPr>
        <w:t>6</w:t>
      </w:r>
      <w:r>
        <w:rPr>
          <w:rFonts w:hint="default" w:ascii="Times New Roman" w:cs="Times New Roman"/>
          <w:b w:val="0"/>
          <w:bCs w:val="0"/>
          <w:color w:val="auto"/>
          <w:kern w:val="0"/>
          <w:sz w:val="21"/>
          <w:szCs w:val="21"/>
          <w:lang w:val="en-US" w:eastAsia="zh-CN" w:bidi="ar-SA"/>
        </w:rPr>
        <w:t>0%、</w:t>
      </w:r>
      <w:r>
        <w:rPr>
          <w:rFonts w:hint="eastAsia" w:ascii="Times New Roman" w:cs="Times New Roman"/>
          <w:b w:val="0"/>
          <w:bCs w:val="0"/>
          <w:color w:val="auto"/>
          <w:kern w:val="0"/>
          <w:sz w:val="21"/>
          <w:szCs w:val="21"/>
          <w:lang w:val="en-US" w:eastAsia="zh-CN" w:bidi="ar-SA"/>
        </w:rPr>
        <w:t>60</w:t>
      </w:r>
      <w:r>
        <w:rPr>
          <w:rFonts w:hint="default" w:ascii="Times New Roman" w:cs="Times New Roman"/>
          <w:b w:val="0"/>
          <w:bCs w:val="0"/>
          <w:color w:val="auto"/>
          <w:kern w:val="0"/>
          <w:sz w:val="21"/>
          <w:szCs w:val="21"/>
          <w:lang w:val="en-US" w:eastAsia="zh-CN" w:bidi="ar-SA"/>
        </w:rPr>
        <w:t>%~＜100%、大于等于100%分别作为“进展缓慢”“有一定进展”“完成</w:t>
      </w:r>
      <w:r>
        <w:rPr>
          <w:rFonts w:hint="eastAsia" w:ascii="Times New Roman" w:cs="Times New Roman"/>
          <w:b w:val="0"/>
          <w:bCs w:val="0"/>
          <w:color w:val="auto"/>
          <w:kern w:val="0"/>
          <w:sz w:val="21"/>
          <w:szCs w:val="21"/>
          <w:lang w:val="en-US" w:eastAsia="zh-CN" w:bidi="ar-SA"/>
        </w:rPr>
        <w:t>规划</w:t>
      </w:r>
      <w:r>
        <w:rPr>
          <w:rFonts w:hint="default" w:ascii="Times New Roman" w:cs="Times New Roman"/>
          <w:b w:val="0"/>
          <w:bCs w:val="0"/>
          <w:color w:val="auto"/>
          <w:kern w:val="0"/>
          <w:sz w:val="21"/>
          <w:szCs w:val="21"/>
          <w:lang w:val="en-US" w:eastAsia="zh-CN" w:bidi="ar-SA"/>
        </w:rPr>
        <w:t>目标指标”</w:t>
      </w:r>
      <w:r>
        <w:rPr>
          <w:rFonts w:hint="eastAsia" w:ascii="Times New Roman" w:cs="Times New Roman"/>
          <w:b w:val="0"/>
          <w:bCs w:val="0"/>
          <w:color w:val="auto"/>
          <w:kern w:val="0"/>
          <w:sz w:val="21"/>
          <w:szCs w:val="21"/>
          <w:lang w:val="en-US" w:eastAsia="zh-CN" w:bidi="ar-SA"/>
        </w:rPr>
        <w:t>三</w:t>
      </w:r>
      <w:r>
        <w:rPr>
          <w:rFonts w:hint="default" w:ascii="Times New Roman" w:cs="Times New Roman"/>
          <w:b w:val="0"/>
          <w:bCs w:val="0"/>
          <w:color w:val="auto"/>
          <w:kern w:val="0"/>
          <w:sz w:val="21"/>
          <w:szCs w:val="21"/>
          <w:lang w:val="en-US" w:eastAsia="zh-CN" w:bidi="ar-SA"/>
        </w:rPr>
        <w:t>个级别划分标准。矿产地质调查</w:t>
      </w:r>
      <w:r>
        <w:rPr>
          <w:rFonts w:hint="eastAsia" w:ascii="Times New Roman" w:cs="Times New Roman"/>
          <w:b w:val="0"/>
          <w:bCs w:val="0"/>
          <w:color w:val="auto"/>
          <w:kern w:val="0"/>
          <w:sz w:val="21"/>
          <w:szCs w:val="21"/>
          <w:lang w:val="en-US" w:eastAsia="zh-CN" w:bidi="ar-SA"/>
        </w:rPr>
        <w:t>与</w:t>
      </w:r>
      <w:r>
        <w:rPr>
          <w:rFonts w:hint="default" w:ascii="Times New Roman" w:cs="Times New Roman"/>
          <w:b w:val="0"/>
          <w:bCs w:val="0"/>
          <w:color w:val="auto"/>
          <w:kern w:val="0"/>
          <w:sz w:val="21"/>
          <w:szCs w:val="21"/>
          <w:lang w:val="en-US" w:eastAsia="zh-CN" w:bidi="ar-SA"/>
        </w:rPr>
        <w:t>基础调查</w:t>
      </w:r>
      <w:r>
        <w:rPr>
          <w:rFonts w:hint="eastAsia" w:ascii="Times New Roman" w:cs="Times New Roman"/>
          <w:b w:val="0"/>
          <w:bCs w:val="0"/>
          <w:color w:val="auto"/>
          <w:kern w:val="0"/>
          <w:sz w:val="21"/>
          <w:szCs w:val="21"/>
          <w:lang w:val="en-US" w:eastAsia="zh-CN" w:bidi="ar-SA"/>
        </w:rPr>
        <w:t>评价</w:t>
      </w:r>
      <w:r>
        <w:rPr>
          <w:rFonts w:hint="default" w:ascii="Times New Roman" w:cs="Times New Roman"/>
          <w:b w:val="0"/>
          <w:bCs w:val="0"/>
          <w:color w:val="auto"/>
          <w:kern w:val="0"/>
          <w:sz w:val="21"/>
          <w:szCs w:val="21"/>
          <w:lang w:val="en-US" w:eastAsia="zh-CN" w:bidi="ar-SA"/>
        </w:rPr>
        <w:t>的总结评估</w:t>
      </w:r>
      <w:r>
        <w:rPr>
          <w:rFonts w:hint="eastAsia" w:ascii="Times New Roman" w:cs="Times New Roman"/>
          <w:b w:val="0"/>
          <w:bCs w:val="0"/>
          <w:color w:val="auto"/>
          <w:kern w:val="0"/>
          <w:sz w:val="21"/>
          <w:szCs w:val="21"/>
          <w:lang w:val="en-US" w:eastAsia="zh-CN" w:bidi="ar-SA"/>
        </w:rPr>
        <w:t>比对值为</w:t>
      </w:r>
      <w:r>
        <w:rPr>
          <w:rFonts w:hint="default" w:ascii="Times New Roman" w:cs="Times New Roman"/>
          <w:b w:val="0"/>
          <w:bCs w:val="0"/>
          <w:color w:val="auto"/>
          <w:kern w:val="0"/>
          <w:sz w:val="21"/>
          <w:szCs w:val="21"/>
          <w:lang w:val="en-US" w:eastAsia="zh-CN" w:bidi="ar-SA"/>
        </w:rPr>
        <w:t>规划目标指标值</w:t>
      </w:r>
      <w:r>
        <w:rPr>
          <w:rFonts w:hint="eastAsia" w:ascii="Times New Roman" w:cs="Times New Roman"/>
          <w:b w:val="0"/>
          <w:bCs w:val="0"/>
          <w:color w:val="auto"/>
          <w:kern w:val="0"/>
          <w:sz w:val="21"/>
          <w:szCs w:val="21"/>
          <w:lang w:val="en-US" w:eastAsia="zh-CN" w:bidi="ar-SA"/>
        </w:rPr>
        <w:t>，中期评估比对值为规划</w:t>
      </w:r>
      <w:r>
        <w:rPr>
          <w:rFonts w:hint="default" w:ascii="Times New Roman" w:cs="Times New Roman"/>
          <w:b w:val="0"/>
          <w:bCs w:val="0"/>
          <w:color w:val="auto"/>
          <w:kern w:val="0"/>
          <w:sz w:val="21"/>
          <w:szCs w:val="21"/>
          <w:lang w:val="en-US" w:eastAsia="zh-CN" w:bidi="ar-SA"/>
        </w:rPr>
        <w:t>目标指标值的二分之一。</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A.2.1.2 地质调查综合评级</w:t>
      </w:r>
    </w:p>
    <w:p>
      <w:pPr>
        <w:pStyle w:val="24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eastAsia="宋体" w:cs="Times New Roman"/>
          <w:b w:val="0"/>
          <w:bCs w:val="0"/>
          <w:color w:val="auto"/>
          <w:kern w:val="0"/>
          <w:sz w:val="21"/>
          <w:szCs w:val="21"/>
          <w:lang w:val="en-US" w:eastAsia="zh-CN" w:bidi="ar-SA"/>
        </w:rPr>
        <w:t>根据指标的实现程度，</w:t>
      </w:r>
      <w:r>
        <w:rPr>
          <w:rFonts w:hint="eastAsia" w:ascii="Times New Roman" w:cs="Times New Roman"/>
          <w:b w:val="0"/>
          <w:bCs w:val="0"/>
          <w:color w:val="auto"/>
          <w:kern w:val="0"/>
          <w:sz w:val="21"/>
          <w:szCs w:val="21"/>
          <w:lang w:val="en-US" w:eastAsia="zh-CN" w:bidi="ar-SA"/>
        </w:rPr>
        <w:t>综合判断地质调查类别的级别。</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表A.2 地质调查综合评级表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3379"/>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828" w:type="dxa"/>
            <w:noWrap w:val="0"/>
            <w:vAlign w:val="center"/>
          </w:tcPr>
          <w:p>
            <w:pPr>
              <w:pStyle w:val="247"/>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center"/>
              <w:textAlignment w:val="auto"/>
              <w:outlineLvl w:val="9"/>
              <w:rPr>
                <w:rFonts w:hint="eastAsia" w:ascii="宋体" w:hAnsi="宋体" w:eastAsia="宋体" w:cs="宋体"/>
                <w:b/>
                <w:bCs/>
                <w:color w:val="auto"/>
                <w:kern w:val="0"/>
                <w:sz w:val="18"/>
                <w:szCs w:val="18"/>
                <w:vertAlign w:val="baseline"/>
                <w:lang w:val="en-US" w:eastAsia="zh-CN" w:bidi="ar-SA"/>
              </w:rPr>
            </w:pPr>
            <w:r>
              <w:rPr>
                <w:rFonts w:hint="eastAsia" w:ascii="宋体" w:hAnsi="宋体" w:eastAsia="宋体" w:cs="宋体"/>
                <w:b/>
                <w:bCs/>
                <w:color w:val="auto"/>
                <w:kern w:val="0"/>
                <w:sz w:val="18"/>
                <w:szCs w:val="18"/>
                <w:vertAlign w:val="baseline"/>
                <w:lang w:val="en-US" w:eastAsia="zh-CN" w:bidi="ar-SA"/>
              </w:rPr>
              <w:t>级别</w:t>
            </w:r>
          </w:p>
        </w:tc>
        <w:tc>
          <w:tcPr>
            <w:tcW w:w="337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矿产地质调查</w:t>
            </w:r>
          </w:p>
        </w:tc>
        <w:tc>
          <w:tcPr>
            <w:tcW w:w="331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基础地质调查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宋体" w:hAnsi="宋体" w:eastAsia="宋体" w:cs="宋体"/>
                <w:b w:val="0"/>
                <w:bCs w:val="0"/>
                <w:color w:val="auto"/>
                <w:kern w:val="0"/>
                <w:sz w:val="18"/>
                <w:szCs w:val="18"/>
                <w:vertAlign w:val="baseline"/>
                <w:lang w:val="en-US" w:eastAsia="zh-CN" w:bidi="ar-SA"/>
              </w:rPr>
            </w:pPr>
            <w:r>
              <w:rPr>
                <w:rFonts w:hint="eastAsia" w:ascii="宋体" w:hAnsi="宋体" w:eastAsia="宋体" w:cs="宋体"/>
                <w:b w:val="0"/>
                <w:bCs w:val="0"/>
                <w:color w:val="auto"/>
                <w:kern w:val="0"/>
                <w:sz w:val="18"/>
                <w:szCs w:val="18"/>
                <w:vertAlign w:val="baseline"/>
                <w:lang w:val="en-US" w:eastAsia="zh-CN" w:bidi="ar-SA"/>
              </w:rPr>
              <w:t>1级</w:t>
            </w:r>
          </w:p>
        </w:tc>
        <w:tc>
          <w:tcPr>
            <w:tcW w:w="337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完成规划目标指标</w:t>
            </w:r>
          </w:p>
        </w:tc>
        <w:tc>
          <w:tcPr>
            <w:tcW w:w="331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完成规划目标指标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宋体" w:hAnsi="宋体" w:eastAsia="宋体" w:cs="宋体"/>
                <w:b w:val="0"/>
                <w:bCs w:val="0"/>
                <w:color w:val="auto"/>
                <w:kern w:val="0"/>
                <w:sz w:val="18"/>
                <w:szCs w:val="18"/>
                <w:vertAlign w:val="baseline"/>
                <w:lang w:val="en-US" w:eastAsia="zh-CN" w:bidi="ar-SA"/>
              </w:rPr>
            </w:pPr>
            <w:r>
              <w:rPr>
                <w:rFonts w:hint="eastAsia" w:ascii="宋体" w:hAnsi="宋体" w:eastAsia="宋体" w:cs="宋体"/>
                <w:b w:val="0"/>
                <w:bCs w:val="0"/>
                <w:color w:val="auto"/>
                <w:kern w:val="0"/>
                <w:sz w:val="18"/>
                <w:szCs w:val="18"/>
                <w:vertAlign w:val="baseline"/>
                <w:lang w:val="en-US" w:eastAsia="zh-CN" w:bidi="ar-SA"/>
              </w:rPr>
              <w:t>2级</w:t>
            </w:r>
          </w:p>
        </w:tc>
        <w:tc>
          <w:tcPr>
            <w:tcW w:w="6694" w:type="dxa"/>
            <w:gridSpan w:val="2"/>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一项有一定进展，另一项为完成规划目标指标或有一定进展</w:t>
            </w:r>
          </w:p>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C00000"/>
                <w:kern w:val="0"/>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宋体" w:hAnsi="宋体" w:eastAsia="宋体" w:cs="宋体"/>
                <w:b w:val="0"/>
                <w:bCs w:val="0"/>
                <w:color w:val="auto"/>
                <w:kern w:val="0"/>
                <w:sz w:val="18"/>
                <w:szCs w:val="18"/>
                <w:vertAlign w:val="baseline"/>
                <w:lang w:val="en-US" w:eastAsia="zh-CN" w:bidi="ar-SA"/>
              </w:rPr>
            </w:pPr>
            <w:r>
              <w:rPr>
                <w:rFonts w:hint="eastAsia" w:ascii="宋体" w:hAnsi="宋体" w:eastAsia="宋体" w:cs="宋体"/>
                <w:b w:val="0"/>
                <w:bCs w:val="0"/>
                <w:color w:val="auto"/>
                <w:kern w:val="0"/>
                <w:sz w:val="18"/>
                <w:szCs w:val="18"/>
                <w:vertAlign w:val="baseline"/>
                <w:lang w:val="en-US" w:eastAsia="zh-CN" w:bidi="ar-SA"/>
              </w:rPr>
              <w:t>3级</w:t>
            </w:r>
          </w:p>
        </w:tc>
        <w:tc>
          <w:tcPr>
            <w:tcW w:w="6694" w:type="dxa"/>
            <w:gridSpan w:val="2"/>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一项为进展缓慢，另一项为完成规划目标指标或有一定进展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宋体" w:hAnsi="宋体" w:eastAsia="宋体" w:cs="宋体"/>
                <w:b w:val="0"/>
                <w:bCs w:val="0"/>
                <w:color w:val="auto"/>
                <w:kern w:val="0"/>
                <w:sz w:val="18"/>
                <w:szCs w:val="18"/>
                <w:vertAlign w:val="baseline"/>
                <w:lang w:val="en-US" w:eastAsia="zh-CN" w:bidi="ar-SA"/>
              </w:rPr>
            </w:pPr>
            <w:r>
              <w:rPr>
                <w:rFonts w:hint="eastAsia" w:ascii="宋体" w:hAnsi="宋体" w:eastAsia="宋体" w:cs="宋体"/>
                <w:b w:val="0"/>
                <w:bCs w:val="0"/>
                <w:color w:val="auto"/>
                <w:kern w:val="0"/>
                <w:sz w:val="18"/>
                <w:szCs w:val="18"/>
                <w:lang w:val="en-US" w:eastAsia="zh-CN" w:bidi="ar-SA"/>
              </w:rPr>
              <w:t>4级</w:t>
            </w:r>
          </w:p>
        </w:tc>
        <w:tc>
          <w:tcPr>
            <w:tcW w:w="337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360" w:firstLineChars="200"/>
              <w:jc w:val="center"/>
              <w:textAlignment w:val="auto"/>
              <w:outlineLvl w:val="9"/>
              <w:rPr>
                <w:rFonts w:hint="eastAsia" w:ascii="Times New Roman" w:hAnsi="Times New Roman" w:eastAsia="宋体"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lang w:val="en-US" w:eastAsia="zh-CN" w:bidi="ar-SA"/>
              </w:rPr>
              <w:t>进展缓慢</w:t>
            </w:r>
          </w:p>
        </w:tc>
        <w:tc>
          <w:tcPr>
            <w:tcW w:w="331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360" w:firstLineChars="200"/>
              <w:jc w:val="center"/>
              <w:textAlignment w:val="auto"/>
              <w:outlineLvl w:val="9"/>
              <w:rPr>
                <w:rFonts w:hint="eastAsia" w:ascii="Times New Roman" w:hAnsi="Times New Roman" w:eastAsia="宋体"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lang w:val="en-US" w:eastAsia="zh-CN" w:bidi="ar-SA"/>
              </w:rPr>
              <w:t>进展缓慢</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A.2.2 矿产资源勘查实施成效评估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A.2.2.1 指标评估</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eastAsia="宋体" w:cs="Times New Roman"/>
          <w:b w:val="0"/>
          <w:bCs w:val="0"/>
          <w:color w:val="auto"/>
          <w:kern w:val="0"/>
          <w:sz w:val="21"/>
          <w:szCs w:val="21"/>
          <w:lang w:val="en-US" w:eastAsia="zh-CN" w:bidi="ar-SA"/>
        </w:rPr>
        <w:t>矿产资源</w:t>
      </w:r>
      <w:r>
        <w:rPr>
          <w:rFonts w:hint="eastAsia" w:ascii="Times New Roman" w:cs="Times New Roman"/>
          <w:b w:val="0"/>
          <w:bCs w:val="0"/>
          <w:color w:val="auto"/>
          <w:kern w:val="0"/>
          <w:sz w:val="21"/>
          <w:szCs w:val="21"/>
          <w:lang w:val="en-US" w:eastAsia="zh-CN" w:bidi="ar-SA"/>
        </w:rPr>
        <w:t>勘查评估主要是对新发现大中型矿产地、单矿种新增查明资源量等指标实施程度进行评估。通过评估时点指标实际值与比对值对比，将比值小于50%、50%~＜100%、100%~150%、大于150%划分为“进展缓慢”“有一定成效”“实施成效明显”“实施成效显著”四个级别。各指标总结评估比对值为规划目标指标值，中期评估比对值为规划目标指标值的二分之一。</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cs="Times New Roman"/>
          <w:b w:val="0"/>
          <w:bCs w:val="0"/>
          <w:color w:val="auto"/>
          <w:kern w:val="0"/>
          <w:sz w:val="21"/>
          <w:szCs w:val="21"/>
          <w:lang w:val="en-US" w:eastAsia="zh-CN" w:bidi="ar-SA"/>
        </w:rPr>
        <w:t>对于新增查明资源量指标实施程度进行综合评定，采用公式（1）得出其实施程度综合百分比值，按照上述级别划分标准，得到实施程度级别。</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360" w:firstLineChars="200"/>
        <w:jc w:val="left"/>
        <w:textAlignment w:val="auto"/>
        <w:outlineLvl w:val="9"/>
        <w:rPr>
          <w:rFonts w:hint="eastAsia" w:ascii="Times New Roman" w:cs="Times New Roman"/>
          <w:b w:val="0"/>
          <w:bCs w:val="0"/>
          <w:color w:val="auto"/>
          <w:kern w:val="0"/>
          <w:sz w:val="18"/>
          <w:szCs w:val="18"/>
          <w:lang w:val="en-US" w:eastAsia="zh-CN" w:bidi="ar-SA"/>
        </w:rPr>
      </w:pPr>
      <w:r>
        <w:rPr>
          <w:rFonts w:hint="default" w:ascii="Times New Roman" w:cs="Times New Roman"/>
          <w:b w:val="0"/>
          <w:bCs w:val="0"/>
          <w:color w:val="auto"/>
          <w:kern w:val="0"/>
          <w:position w:val="-10"/>
          <w:sz w:val="18"/>
          <w:szCs w:val="18"/>
          <w:lang w:val="en-US" w:eastAsia="zh-CN" w:bidi="ar-SA"/>
        </w:rPr>
        <w:object>
          <v:shape id="_x0000_i1025" o:spt="75" type="#_x0000_t75" style="height:17pt;width:9pt;" o:ole="t" filled="f" o:preferrelative="t" stroked="f" coordsize="21600,21600">
            <v:path/>
            <v:fill on="f" focussize="0,0"/>
            <v:stroke on="f"/>
            <v:imagedata r:id="rId30" o:title=""/>
            <o:lock v:ext="edit" aspectratio="t"/>
            <w10:wrap type="none"/>
            <w10:anchorlock/>
          </v:shape>
          <o:OLEObject Type="Embed" ProgID="Equation.KSEE3" ShapeID="_x0000_i1025" DrawAspect="Content" ObjectID="_1468075725" r:id="rId29">
            <o:LockedField>false</o:LockedField>
          </o:OLEObject>
        </w:object>
      </w:r>
      <w:r>
        <w:rPr>
          <w:rFonts w:hint="eastAsia" w:ascii="Times New Roman" w:cs="Times New Roman"/>
          <w:b w:val="0"/>
          <w:bCs w:val="0"/>
          <w:color w:val="auto"/>
          <w:kern w:val="0"/>
          <w:sz w:val="18"/>
          <w:szCs w:val="18"/>
          <w:lang w:val="en-US" w:eastAsia="zh-CN" w:bidi="ar-SA"/>
        </w:rPr>
        <w:t xml:space="preserve">              </w:t>
      </w:r>
      <w:r>
        <w:rPr>
          <w:rFonts w:hint="eastAsia" w:ascii="Times New Roman" w:cs="Times New Roman"/>
          <w:b w:val="0"/>
          <w:bCs w:val="0"/>
          <w:color w:val="auto"/>
          <w:kern w:val="0"/>
          <w:sz w:val="21"/>
          <w:szCs w:val="21"/>
          <w:lang w:val="en-US" w:eastAsia="zh-CN" w:bidi="ar-SA"/>
        </w:rPr>
        <w:t xml:space="preserve">            </w:t>
      </w:r>
      <w:r>
        <w:rPr>
          <w:rFonts w:hint="eastAsia" w:ascii="Times New Roman" w:cs="Times New Roman"/>
          <w:b w:val="0"/>
          <w:bCs w:val="0"/>
          <w:color w:val="auto"/>
          <w:kern w:val="0"/>
          <w:position w:val="-24"/>
          <w:sz w:val="21"/>
          <w:szCs w:val="21"/>
          <w:lang w:val="en-US" w:eastAsia="zh-CN" w:bidi="ar-SA"/>
        </w:rPr>
        <w:object>
          <v:shape id="_x0000_i1026" o:spt="75" type="#_x0000_t75" style="height:31pt;width:81pt;" o:ole="t" filled="f" o:preferrelative="t" stroked="f" coordsize="21600,21600">
            <v:path/>
            <v:fill on="f" focussize="0,0"/>
            <v:stroke on="f"/>
            <v:imagedata r:id="rId32" o:title=""/>
            <o:lock v:ext="edit" aspectratio="t"/>
            <w10:wrap type="none"/>
            <w10:anchorlock/>
          </v:shape>
          <o:OLEObject Type="Embed" ProgID="Equation.KSEE3" ShapeID="_x0000_i1026" DrawAspect="Content" ObjectID="_1468075726" r:id="rId31">
            <o:LockedField>false</o:LockedField>
          </o:OLEObject>
        </w:object>
      </w:r>
      <w:r>
        <w:rPr>
          <w:rFonts w:hint="eastAsia" w:ascii="Times New Roman" w:cs="Times New Roman"/>
          <w:b w:val="0"/>
          <w:bCs w:val="0"/>
          <w:color w:val="auto"/>
          <w:kern w:val="0"/>
          <w:sz w:val="21"/>
          <w:szCs w:val="21"/>
          <w:lang w:val="en-US" w:eastAsia="zh-CN" w:bidi="ar-SA"/>
        </w:rPr>
        <w:t xml:space="preserve">                           （1）</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default" w:ascii="Times New Roman" w:cs="Times New Roman"/>
          <w:b w:val="0"/>
          <w:bCs w:val="0"/>
          <w:color w:val="auto"/>
          <w:kern w:val="0"/>
          <w:sz w:val="21"/>
          <w:szCs w:val="21"/>
          <w:lang w:val="en-US" w:eastAsia="zh-CN" w:bidi="ar-SA"/>
        </w:rPr>
      </w:pPr>
      <w:r>
        <w:rPr>
          <w:rFonts w:hint="default" w:ascii="Times New Roman" w:cs="Times New Roman"/>
          <w:b w:val="0"/>
          <w:bCs w:val="0"/>
          <w:color w:val="auto"/>
          <w:kern w:val="0"/>
          <w:sz w:val="21"/>
          <w:szCs w:val="21"/>
          <w:lang w:val="en-US" w:eastAsia="zh-CN" w:bidi="ar-SA"/>
        </w:rPr>
        <w:t>式中：</w:t>
      </w:r>
      <w:r>
        <w:rPr>
          <w:rFonts w:hint="default" w:ascii="Times New Roman" w:cs="Times New Roman"/>
          <w:b w:val="0"/>
          <w:bCs w:val="0"/>
          <w:i/>
          <w:iCs/>
          <w:color w:val="auto"/>
          <w:kern w:val="0"/>
          <w:sz w:val="21"/>
          <w:szCs w:val="21"/>
          <w:lang w:val="en-US" w:eastAsia="zh-CN" w:bidi="ar-SA"/>
        </w:rPr>
        <w:t>P</w:t>
      </w:r>
      <w:r>
        <w:rPr>
          <w:rFonts w:hint="eastAsia" w:ascii="Times New Roman" w:cs="Times New Roman"/>
          <w:b w:val="0"/>
          <w:bCs w:val="0"/>
          <w:i/>
          <w:iCs/>
          <w:color w:val="auto"/>
          <w:kern w:val="0"/>
          <w:sz w:val="21"/>
          <w:szCs w:val="21"/>
          <w:vertAlign w:val="subscript"/>
          <w:lang w:val="en-US" w:eastAsia="zh-CN" w:bidi="ar-SA"/>
        </w:rPr>
        <w:t>K</w:t>
      </w:r>
      <w:r>
        <w:rPr>
          <w:rFonts w:hint="default" w:ascii="Times New Roman" w:cs="Times New Roman"/>
          <w:b w:val="0"/>
          <w:bCs w:val="0"/>
          <w:color w:val="auto"/>
          <w:kern w:val="0"/>
          <w:sz w:val="21"/>
          <w:szCs w:val="21"/>
          <w:lang w:val="en-US" w:eastAsia="zh-CN" w:bidi="ar-SA"/>
        </w:rPr>
        <w:t>为</w:t>
      </w:r>
      <w:r>
        <w:rPr>
          <w:rFonts w:hint="eastAsia" w:ascii="Times New Roman" w:hAnsi="Times New Roman" w:cs="Times New Roman"/>
          <w:b w:val="0"/>
          <w:bCs w:val="0"/>
          <w:color w:val="auto"/>
          <w:kern w:val="0"/>
          <w:sz w:val="21"/>
          <w:szCs w:val="21"/>
          <w:lang w:val="en-US" w:eastAsia="zh-CN" w:bidi="ar-SA"/>
        </w:rPr>
        <w:t>新增</w:t>
      </w:r>
      <w:r>
        <w:rPr>
          <w:rFonts w:hint="default" w:ascii="Times New Roman" w:cs="Times New Roman"/>
          <w:b w:val="0"/>
          <w:bCs w:val="0"/>
          <w:color w:val="auto"/>
          <w:kern w:val="0"/>
          <w:sz w:val="21"/>
          <w:szCs w:val="21"/>
          <w:lang w:val="en-US" w:eastAsia="zh-CN" w:bidi="ar-SA"/>
        </w:rPr>
        <w:t>查明资源量实施程度综合百分比值</w:t>
      </w:r>
      <w:r>
        <w:rPr>
          <w:rFonts w:hint="eastAsia" w:ascii="Times New Roman" w:cs="Times New Roman"/>
          <w:b w:val="0"/>
          <w:bCs w:val="0"/>
          <w:color w:val="auto"/>
          <w:kern w:val="0"/>
          <w:sz w:val="21"/>
          <w:szCs w:val="21"/>
          <w:lang w:val="en-US" w:eastAsia="zh-CN" w:bidi="ar-SA"/>
        </w:rPr>
        <w:t>（%）</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default" w:ascii="Times New Roman" w:cs="Times New Roman"/>
          <w:b w:val="0"/>
          <w:bCs w:val="0"/>
          <w:i w:val="0"/>
          <w:iCs w:val="0"/>
          <w:color w:val="auto"/>
          <w:kern w:val="0"/>
          <w:sz w:val="21"/>
          <w:szCs w:val="21"/>
          <w:vertAlign w:val="baseline"/>
          <w:lang w:val="en-US" w:eastAsia="zh-CN" w:bidi="ar-SA"/>
        </w:rPr>
      </w:pPr>
      <w:r>
        <w:rPr>
          <w:rFonts w:hint="default" w:ascii="Times New Roman" w:cs="Times New Roman"/>
          <w:b w:val="0"/>
          <w:bCs w:val="0"/>
          <w:color w:val="auto"/>
          <w:kern w:val="0"/>
          <w:sz w:val="21"/>
          <w:szCs w:val="21"/>
          <w:lang w:val="en-US" w:eastAsia="zh-CN" w:bidi="ar-SA"/>
        </w:rPr>
        <w:t xml:space="preserve">      </w:t>
      </w:r>
      <w:r>
        <w:rPr>
          <w:rFonts w:hint="default" w:ascii="Times New Roman" w:cs="Times New Roman"/>
          <w:b w:val="0"/>
          <w:bCs w:val="0"/>
          <w:i/>
          <w:iCs/>
          <w:color w:val="auto"/>
          <w:kern w:val="0"/>
          <w:sz w:val="21"/>
          <w:szCs w:val="21"/>
          <w:lang w:val="en-US" w:eastAsia="zh-CN" w:bidi="ar-SA"/>
        </w:rPr>
        <w:t>P</w:t>
      </w:r>
      <w:r>
        <w:rPr>
          <w:rFonts w:hint="default" w:ascii="Times New Roman" w:cs="Times New Roman"/>
          <w:b w:val="0"/>
          <w:bCs w:val="0"/>
          <w:i/>
          <w:iCs/>
          <w:color w:val="auto"/>
          <w:kern w:val="0"/>
          <w:sz w:val="21"/>
          <w:szCs w:val="21"/>
          <w:vertAlign w:val="subscript"/>
          <w:lang w:val="en-US" w:eastAsia="zh-CN" w:bidi="ar-SA"/>
        </w:rPr>
        <w:t>i</w:t>
      </w:r>
      <w:r>
        <w:rPr>
          <w:rFonts w:hint="default" w:ascii="Times New Roman" w:cs="Times New Roman"/>
          <w:b w:val="0"/>
          <w:bCs w:val="0"/>
          <w:i w:val="0"/>
          <w:iCs w:val="0"/>
          <w:color w:val="auto"/>
          <w:kern w:val="0"/>
          <w:sz w:val="21"/>
          <w:szCs w:val="21"/>
          <w:vertAlign w:val="baseline"/>
          <w:lang w:val="en-US" w:eastAsia="zh-CN" w:bidi="ar-SA"/>
        </w:rPr>
        <w:t>为</w:t>
      </w:r>
      <w:r>
        <w:rPr>
          <w:rFonts w:hint="eastAsia" w:ascii="Times New Roman" w:cs="Times New Roman"/>
          <w:b w:val="0"/>
          <w:bCs w:val="0"/>
          <w:i w:val="0"/>
          <w:iCs w:val="0"/>
          <w:color w:val="auto"/>
          <w:kern w:val="0"/>
          <w:sz w:val="21"/>
          <w:szCs w:val="21"/>
          <w:vertAlign w:val="baseline"/>
          <w:lang w:val="en-US" w:eastAsia="zh-CN" w:bidi="ar-SA"/>
        </w:rPr>
        <w:t>单</w:t>
      </w:r>
      <w:r>
        <w:rPr>
          <w:rFonts w:hint="default" w:ascii="Times New Roman" w:cs="Times New Roman"/>
          <w:b w:val="0"/>
          <w:bCs w:val="0"/>
          <w:i w:val="0"/>
          <w:iCs w:val="0"/>
          <w:color w:val="auto"/>
          <w:kern w:val="0"/>
          <w:sz w:val="21"/>
          <w:szCs w:val="21"/>
          <w:vertAlign w:val="baseline"/>
          <w:lang w:val="en-US" w:eastAsia="zh-CN" w:bidi="ar-SA"/>
        </w:rPr>
        <w:t>矿种</w:t>
      </w:r>
      <w:r>
        <w:rPr>
          <w:rFonts w:hint="eastAsia" w:ascii="Times New Roman" w:hAnsi="Times New Roman" w:cs="Times New Roman"/>
          <w:b w:val="0"/>
          <w:bCs w:val="0"/>
          <w:i w:val="0"/>
          <w:iCs w:val="0"/>
          <w:color w:val="auto"/>
          <w:kern w:val="0"/>
          <w:sz w:val="21"/>
          <w:szCs w:val="21"/>
          <w:vertAlign w:val="baseline"/>
          <w:lang w:val="en-US" w:eastAsia="zh-CN" w:bidi="ar-SA"/>
        </w:rPr>
        <w:t>新增</w:t>
      </w:r>
      <w:r>
        <w:rPr>
          <w:rFonts w:hint="default" w:ascii="Times New Roman" w:cs="Times New Roman"/>
          <w:b w:val="0"/>
          <w:bCs w:val="0"/>
          <w:i w:val="0"/>
          <w:iCs w:val="0"/>
          <w:color w:val="auto"/>
          <w:kern w:val="0"/>
          <w:sz w:val="21"/>
          <w:szCs w:val="21"/>
          <w:vertAlign w:val="baseline"/>
          <w:lang w:val="en-US" w:eastAsia="zh-CN" w:bidi="ar-SA"/>
        </w:rPr>
        <w:t>查明资源量实施程度百分比值</w:t>
      </w:r>
      <w:r>
        <w:rPr>
          <w:rFonts w:hint="eastAsia" w:ascii="Times New Roman" w:cs="Times New Roman"/>
          <w:b w:val="0"/>
          <w:bCs w:val="0"/>
          <w:i w:val="0"/>
          <w:iCs w:val="0"/>
          <w:color w:val="auto"/>
          <w:kern w:val="0"/>
          <w:sz w:val="21"/>
          <w:szCs w:val="21"/>
          <w:vertAlign w:val="baseline"/>
          <w:lang w:val="en-US" w:eastAsia="zh-CN" w:bidi="ar-SA"/>
        </w:rPr>
        <w:t>（%）</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hAnsi="Times New Roman" w:cs="Times New Roman"/>
          <w:b w:val="0"/>
          <w:bCs w:val="0"/>
          <w:i w:val="0"/>
          <w:iCs w:val="0"/>
          <w:color w:val="auto"/>
          <w:kern w:val="0"/>
          <w:sz w:val="21"/>
          <w:szCs w:val="21"/>
          <w:vertAlign w:val="baseline"/>
          <w:lang w:val="en-US" w:eastAsia="zh-CN" w:bidi="ar-SA"/>
        </w:rPr>
      </w:pPr>
      <w:r>
        <w:rPr>
          <w:rFonts w:hint="default" w:ascii="Times New Roman" w:cs="Times New Roman"/>
          <w:b w:val="0"/>
          <w:bCs w:val="0"/>
          <w:i w:val="0"/>
          <w:iCs w:val="0"/>
          <w:color w:val="auto"/>
          <w:kern w:val="0"/>
          <w:sz w:val="21"/>
          <w:szCs w:val="21"/>
          <w:vertAlign w:val="baseline"/>
          <w:lang w:val="en-US" w:eastAsia="zh-CN" w:bidi="ar-SA"/>
        </w:rPr>
        <w:t xml:space="preserve">     </w:t>
      </w:r>
      <w:r>
        <w:rPr>
          <w:rFonts w:hint="default" w:ascii="Times New Roman" w:cs="Times New Roman"/>
          <w:b w:val="0"/>
          <w:bCs w:val="0"/>
          <w:i/>
          <w:iCs/>
          <w:color w:val="auto"/>
          <w:kern w:val="0"/>
          <w:sz w:val="21"/>
          <w:szCs w:val="21"/>
          <w:vertAlign w:val="baseline"/>
          <w:lang w:val="en-US" w:eastAsia="zh-CN" w:bidi="ar-SA"/>
        </w:rPr>
        <w:t xml:space="preserve"> n</w:t>
      </w:r>
      <w:r>
        <w:rPr>
          <w:rFonts w:hint="eastAsia" w:ascii="Times New Roman" w:hAnsi="Times New Roman" w:cs="Times New Roman"/>
          <w:b w:val="0"/>
          <w:bCs w:val="0"/>
          <w:i w:val="0"/>
          <w:iCs w:val="0"/>
          <w:color w:val="auto"/>
          <w:kern w:val="0"/>
          <w:sz w:val="21"/>
          <w:szCs w:val="21"/>
          <w:vertAlign w:val="baseline"/>
          <w:lang w:val="en-US" w:eastAsia="zh-CN" w:bidi="ar-SA"/>
        </w:rPr>
        <w:t>为矿种总项数。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A.2.2.2 矿产资源勘查综合评级</w:t>
      </w:r>
    </w:p>
    <w:p>
      <w:pPr>
        <w:pStyle w:val="24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eastAsia="宋体" w:cs="Times New Roman"/>
          <w:b w:val="0"/>
          <w:bCs w:val="0"/>
          <w:color w:val="auto"/>
          <w:kern w:val="0"/>
          <w:sz w:val="21"/>
          <w:szCs w:val="21"/>
          <w:lang w:val="en-US" w:eastAsia="zh-CN" w:bidi="ar-SA"/>
        </w:rPr>
        <w:t>根据</w:t>
      </w:r>
      <w:r>
        <w:rPr>
          <w:rFonts w:hint="eastAsia" w:ascii="Times New Roman" w:cs="Times New Roman"/>
          <w:b w:val="0"/>
          <w:bCs w:val="0"/>
          <w:color w:val="auto"/>
          <w:kern w:val="0"/>
          <w:sz w:val="21"/>
          <w:szCs w:val="21"/>
          <w:lang w:val="en-US" w:eastAsia="zh-CN" w:bidi="ar-SA"/>
        </w:rPr>
        <w:t>新发现大中型矿产地、重要矿种新增查明资源量等实施</w:t>
      </w:r>
      <w:r>
        <w:rPr>
          <w:rFonts w:hint="eastAsia" w:ascii="Times New Roman" w:eastAsia="宋体" w:cs="Times New Roman"/>
          <w:b w:val="0"/>
          <w:bCs w:val="0"/>
          <w:color w:val="auto"/>
          <w:kern w:val="0"/>
          <w:sz w:val="21"/>
          <w:szCs w:val="21"/>
          <w:lang w:val="en-US" w:eastAsia="zh-CN" w:bidi="ar-SA"/>
        </w:rPr>
        <w:t>程度</w:t>
      </w:r>
      <w:r>
        <w:rPr>
          <w:rFonts w:hint="eastAsia" w:ascii="Times New Roman" w:cs="Times New Roman"/>
          <w:b w:val="0"/>
          <w:bCs w:val="0"/>
          <w:color w:val="auto"/>
          <w:kern w:val="0"/>
          <w:sz w:val="21"/>
          <w:szCs w:val="21"/>
          <w:lang w:val="en-US" w:eastAsia="zh-CN" w:bidi="ar-SA"/>
        </w:rPr>
        <w:t>级别</w:t>
      </w:r>
      <w:r>
        <w:rPr>
          <w:rFonts w:hint="eastAsia" w:ascii="Times New Roman" w:eastAsia="宋体" w:cs="Times New Roman"/>
          <w:b w:val="0"/>
          <w:bCs w:val="0"/>
          <w:color w:val="auto"/>
          <w:kern w:val="0"/>
          <w:sz w:val="21"/>
          <w:szCs w:val="21"/>
          <w:lang w:val="en-US" w:eastAsia="zh-CN" w:bidi="ar-SA"/>
        </w:rPr>
        <w:t>，</w:t>
      </w:r>
      <w:r>
        <w:rPr>
          <w:rFonts w:hint="eastAsia" w:ascii="Times New Roman" w:cs="Times New Roman"/>
          <w:b w:val="0"/>
          <w:bCs w:val="0"/>
          <w:color w:val="auto"/>
          <w:kern w:val="0"/>
          <w:sz w:val="21"/>
          <w:szCs w:val="21"/>
          <w:lang w:val="en-US" w:eastAsia="zh-CN" w:bidi="ar-SA"/>
        </w:rPr>
        <w:t>综合评定矿产资源勘查的级别。</w:t>
      </w:r>
    </w:p>
    <w:p>
      <w:pPr>
        <w:pStyle w:val="24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420" w:firstLineChars="200"/>
        <w:jc w:val="center"/>
        <w:textAlignment w:val="auto"/>
        <w:outlineLvl w:val="9"/>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表A.3 矿产资源勘查综合评级表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2731"/>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828" w:type="dxa"/>
            <w:noWrap w:val="0"/>
            <w:vAlign w:val="center"/>
          </w:tcPr>
          <w:p>
            <w:pPr>
              <w:pStyle w:val="247"/>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级别</w:t>
            </w:r>
          </w:p>
        </w:tc>
        <w:tc>
          <w:tcPr>
            <w:tcW w:w="2731"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新发现大中型矿产地</w:t>
            </w:r>
          </w:p>
        </w:tc>
        <w:tc>
          <w:tcPr>
            <w:tcW w:w="396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新增查明资源量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1级</w:t>
            </w:r>
          </w:p>
        </w:tc>
        <w:tc>
          <w:tcPr>
            <w:tcW w:w="2731"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实施成效明显或实施成效显著</w:t>
            </w:r>
          </w:p>
        </w:tc>
        <w:tc>
          <w:tcPr>
            <w:tcW w:w="396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实施成效明显或实施成效显著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2级</w:t>
            </w:r>
          </w:p>
        </w:tc>
        <w:tc>
          <w:tcPr>
            <w:tcW w:w="6694" w:type="dxa"/>
            <w:gridSpan w:val="2"/>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一项为有一定成效，另一项为实施成效明显或实施成效显著</w:t>
            </w:r>
          </w:p>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828" w:type="dxa"/>
            <w:vMerge w:val="restart"/>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3级</w:t>
            </w:r>
          </w:p>
        </w:tc>
        <w:tc>
          <w:tcPr>
            <w:tcW w:w="2731"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lang w:val="en-US" w:eastAsia="zh-CN" w:bidi="ar-SA"/>
              </w:rPr>
              <w:t>进展缓慢</w:t>
            </w:r>
          </w:p>
        </w:tc>
        <w:tc>
          <w:tcPr>
            <w:tcW w:w="396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有一定成效、实施成效明显或成效显著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828" w:type="dxa"/>
            <w:vMerge w:val="continue"/>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p>
        </w:tc>
        <w:tc>
          <w:tcPr>
            <w:tcW w:w="2731"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有一定成效</w:t>
            </w:r>
          </w:p>
        </w:tc>
        <w:tc>
          <w:tcPr>
            <w:tcW w:w="396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有一定成效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82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4级</w:t>
            </w:r>
          </w:p>
        </w:tc>
        <w:tc>
          <w:tcPr>
            <w:tcW w:w="2731"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w:t>
            </w:r>
          </w:p>
        </w:tc>
        <w:tc>
          <w:tcPr>
            <w:tcW w:w="396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eastAsia"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进展缓慢</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A.2.3 矿产资源开发利用评估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A.2.3.1 指标评估</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eastAsia="宋体" w:cs="Times New Roman"/>
          <w:b w:val="0"/>
          <w:bCs w:val="0"/>
          <w:color w:val="auto"/>
          <w:kern w:val="0"/>
          <w:sz w:val="21"/>
          <w:szCs w:val="21"/>
          <w:lang w:val="en-US" w:eastAsia="zh-CN" w:bidi="ar-SA"/>
        </w:rPr>
        <w:t>年开采量</w:t>
      </w:r>
      <w:r>
        <w:rPr>
          <w:rFonts w:hint="eastAsia" w:ascii="Times New Roman" w:cs="Times New Roman"/>
          <w:b w:val="0"/>
          <w:bCs w:val="0"/>
          <w:color w:val="auto"/>
          <w:kern w:val="0"/>
          <w:sz w:val="21"/>
          <w:szCs w:val="21"/>
          <w:lang w:val="en-US" w:eastAsia="zh-CN" w:bidi="ar-SA"/>
        </w:rPr>
        <w:t>指标调控</w:t>
      </w:r>
      <w:r>
        <w:rPr>
          <w:rFonts w:hint="eastAsia" w:ascii="Times New Roman" w:cs="Times New Roman"/>
          <w:color w:val="auto"/>
          <w:kern w:val="0"/>
          <w:sz w:val="21"/>
          <w:szCs w:val="22"/>
          <w:lang w:val="en-US" w:eastAsia="zh-CN" w:bidi="ar-SA"/>
        </w:rPr>
        <w:t>类型可分为鼓励型与控制型两种，鼓励型即为鼓励矿种的开发利用，评估时点单矿种年开采量达到或大于比对值时，规划目标已实现，小于比对值时，规划目标未实现；控制型即为对矿种的年开采量进行控制，评估时点的实际值达到或小于比对值时，规划目标已实现，大于比对值时，规划目标未实现。</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cs="Times New Roman"/>
          <w:color w:val="auto"/>
          <w:kern w:val="0"/>
          <w:sz w:val="21"/>
          <w:szCs w:val="22"/>
          <w:lang w:val="en-US" w:eastAsia="zh-CN" w:bidi="ar-SA"/>
        </w:rPr>
        <w:t>单矿种年开采量总结评估比对值为规划</w:t>
      </w:r>
      <w:r>
        <w:rPr>
          <w:rFonts w:hint="eastAsia" w:ascii="Times New Roman" w:cs="Times New Roman"/>
          <w:b w:val="0"/>
          <w:bCs w:val="0"/>
          <w:color w:val="auto"/>
          <w:kern w:val="0"/>
          <w:sz w:val="21"/>
          <w:szCs w:val="21"/>
          <w:lang w:val="en-US" w:eastAsia="zh-CN" w:bidi="ar-SA"/>
        </w:rPr>
        <w:t>目标指标值，</w:t>
      </w:r>
      <w:r>
        <w:rPr>
          <w:rFonts w:hint="eastAsia" w:ascii="Times New Roman" w:cs="Times New Roman"/>
          <w:color w:val="auto"/>
          <w:kern w:val="0"/>
          <w:sz w:val="21"/>
          <w:szCs w:val="22"/>
          <w:lang w:val="en-US" w:eastAsia="zh-CN" w:bidi="ar-SA"/>
        </w:rPr>
        <w:t>中期评估比对值为</w:t>
      </w:r>
      <w:r>
        <w:rPr>
          <w:rFonts w:hint="eastAsia" w:ascii="Times New Roman" w:cs="Times New Roman"/>
          <w:b w:val="0"/>
          <w:bCs w:val="0"/>
          <w:color w:val="auto"/>
          <w:kern w:val="0"/>
          <w:sz w:val="21"/>
          <w:szCs w:val="21"/>
          <w:lang w:val="en-US" w:eastAsia="zh-CN" w:bidi="ar-SA"/>
        </w:rPr>
        <w:t>规划目标指标值与基期值的算数平均数。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A.2.3.2 矿产资源开发利用综合评级</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420" w:firstLineChars="200"/>
        <w:jc w:val="both"/>
        <w:textAlignment w:val="auto"/>
        <w:outlineLvl w:val="9"/>
        <w:rPr>
          <w:rFonts w:hint="eastAsia" w:ascii="Times New Roman" w:cs="Times New Roman"/>
          <w:b w:val="0"/>
          <w:bCs w:val="0"/>
          <w:color w:val="auto"/>
          <w:kern w:val="0"/>
          <w:sz w:val="21"/>
          <w:szCs w:val="21"/>
          <w:lang w:val="en-US" w:eastAsia="zh-CN" w:bidi="ar-SA"/>
        </w:rPr>
      </w:pPr>
      <w:r>
        <w:rPr>
          <w:rFonts w:hint="eastAsia" w:ascii="Times New Roman" w:eastAsia="宋体" w:cs="Times New Roman"/>
          <w:b w:val="0"/>
          <w:bCs w:val="0"/>
          <w:color w:val="auto"/>
          <w:kern w:val="0"/>
          <w:sz w:val="21"/>
          <w:szCs w:val="21"/>
          <w:lang w:val="en-US" w:eastAsia="zh-CN" w:bidi="ar-SA"/>
        </w:rPr>
        <w:t>根据单</w:t>
      </w:r>
      <w:r>
        <w:rPr>
          <w:rFonts w:hint="eastAsia" w:ascii="Times New Roman" w:cs="Times New Roman"/>
          <w:b w:val="0"/>
          <w:bCs w:val="0"/>
          <w:color w:val="auto"/>
          <w:kern w:val="0"/>
          <w:sz w:val="21"/>
          <w:szCs w:val="21"/>
          <w:lang w:val="en-US" w:eastAsia="zh-CN" w:bidi="ar-SA"/>
        </w:rPr>
        <w:t>矿种年开采量</w:t>
      </w:r>
      <w:r>
        <w:rPr>
          <w:rFonts w:hint="eastAsia" w:ascii="Times New Roman" w:eastAsia="宋体" w:cs="Times New Roman"/>
          <w:b w:val="0"/>
          <w:bCs w:val="0"/>
          <w:color w:val="auto"/>
          <w:kern w:val="0"/>
          <w:sz w:val="21"/>
          <w:szCs w:val="21"/>
          <w:lang w:val="en-US" w:eastAsia="zh-CN" w:bidi="ar-SA"/>
        </w:rPr>
        <w:t>的实现</w:t>
      </w:r>
      <w:r>
        <w:rPr>
          <w:rFonts w:hint="eastAsia" w:ascii="Times New Roman" w:cs="Times New Roman"/>
          <w:b w:val="0"/>
          <w:bCs w:val="0"/>
          <w:color w:val="auto"/>
          <w:kern w:val="0"/>
          <w:sz w:val="21"/>
          <w:szCs w:val="21"/>
          <w:lang w:val="en-US" w:eastAsia="zh-CN" w:bidi="ar-SA"/>
        </w:rPr>
        <w:t>结果</w:t>
      </w:r>
      <w:r>
        <w:rPr>
          <w:rFonts w:hint="eastAsia" w:ascii="Times New Roman" w:eastAsia="宋体" w:cs="Times New Roman"/>
          <w:b w:val="0"/>
          <w:bCs w:val="0"/>
          <w:color w:val="auto"/>
          <w:kern w:val="0"/>
          <w:sz w:val="21"/>
          <w:szCs w:val="21"/>
          <w:lang w:val="en-US" w:eastAsia="zh-CN" w:bidi="ar-SA"/>
        </w:rPr>
        <w:t>，</w:t>
      </w:r>
      <w:r>
        <w:rPr>
          <w:rFonts w:hint="eastAsia" w:ascii="Times New Roman" w:cs="Times New Roman"/>
          <w:b w:val="0"/>
          <w:bCs w:val="0"/>
          <w:color w:val="auto"/>
          <w:kern w:val="0"/>
          <w:sz w:val="21"/>
          <w:szCs w:val="21"/>
          <w:lang w:val="en-US" w:eastAsia="zh-CN" w:bidi="ar-SA"/>
        </w:rPr>
        <w:t>综合评定矿产资源开发利用的级别。</w:t>
      </w:r>
    </w:p>
    <w:p>
      <w:pPr>
        <w:pStyle w:val="24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420" w:firstLineChars="200"/>
        <w:jc w:val="center"/>
        <w:textAlignment w:val="auto"/>
        <w:outlineLvl w:val="9"/>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表A.4 矿产资源开发利用实施成效综合评级</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2289" w:type="dxa"/>
            <w:noWrap w:val="0"/>
            <w:vAlign w:val="center"/>
          </w:tcPr>
          <w:p>
            <w:pPr>
              <w:pStyle w:val="247"/>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级别</w:t>
            </w:r>
          </w:p>
        </w:tc>
        <w:tc>
          <w:tcPr>
            <w:tcW w:w="623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年开采量评估结果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228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1级</w:t>
            </w:r>
          </w:p>
        </w:tc>
        <w:tc>
          <w:tcPr>
            <w:tcW w:w="623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所有矿种目标指标要求都已完成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8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2级</w:t>
            </w:r>
          </w:p>
        </w:tc>
        <w:tc>
          <w:tcPr>
            <w:tcW w:w="623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部分矿种目标指标要求未完成，已完成要求的矿种数占总项数的80%以上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228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3级</w:t>
            </w:r>
          </w:p>
        </w:tc>
        <w:tc>
          <w:tcPr>
            <w:tcW w:w="623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已完成要求的矿种数占总项数的50%以上，小于80%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2289"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4级</w:t>
            </w:r>
          </w:p>
        </w:tc>
        <w:tc>
          <w:tcPr>
            <w:tcW w:w="6233"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jc w:val="center"/>
              <w:textAlignment w:val="auto"/>
              <w:outlineLvl w:val="9"/>
              <w:rPr>
                <w:rFonts w:hint="eastAsia"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vertAlign w:val="baseline"/>
                <w:lang w:val="en-US" w:eastAsia="zh-CN" w:bidi="ar-SA"/>
              </w:rPr>
              <w:t>已完成要求的矿种数占总项数的比例小于50%</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A.2.4 结构与效率实施成效评估</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A.2.4.1 指标评估</w:t>
      </w:r>
    </w:p>
    <w:p>
      <w:pPr>
        <w:pStyle w:val="247"/>
        <w:keepNext w:val="0"/>
        <w:keepLines w:val="0"/>
        <w:pageBreakBefore w:val="0"/>
        <w:widowControl/>
        <w:kinsoku/>
        <w:wordWrap/>
        <w:overflowPunct/>
        <w:topLinePunct w:val="0"/>
        <w:autoSpaceDE w:val="0"/>
        <w:autoSpaceDN w:val="0"/>
        <w:bidi w:val="0"/>
        <w:adjustRightInd/>
        <w:snapToGrid/>
        <w:ind w:left="0" w:leftChars="0" w:firstLine="420" w:firstLineChars="0"/>
        <w:jc w:val="both"/>
        <w:textAlignment w:val="auto"/>
        <w:outlineLvl w:val="9"/>
        <w:rPr>
          <w:rFonts w:hint="eastAsia" w:ascii="Times New Roman" w:cs="Times New Roman"/>
          <w:b w:val="0"/>
          <w:bCs w:val="0"/>
          <w:color w:val="auto"/>
          <w:kern w:val="0"/>
          <w:sz w:val="21"/>
          <w:szCs w:val="22"/>
          <w:lang w:val="en-US" w:eastAsia="zh-CN" w:bidi="ar-SA"/>
        </w:rPr>
      </w:pPr>
      <w:r>
        <w:rPr>
          <w:rFonts w:hint="eastAsia" w:ascii="Times New Roman" w:eastAsia="宋体" w:cs="Times New Roman"/>
          <w:b w:val="0"/>
          <w:bCs w:val="0"/>
          <w:color w:val="auto"/>
          <w:kern w:val="0"/>
          <w:sz w:val="21"/>
          <w:szCs w:val="22"/>
          <w:lang w:val="en-US" w:eastAsia="zh-CN" w:bidi="ar-SA"/>
        </w:rPr>
        <w:t>结构</w:t>
      </w:r>
      <w:r>
        <w:rPr>
          <w:rFonts w:hint="eastAsia" w:ascii="Times New Roman" w:cs="Times New Roman"/>
          <w:b w:val="0"/>
          <w:bCs w:val="0"/>
          <w:color w:val="auto"/>
          <w:kern w:val="0"/>
          <w:sz w:val="21"/>
          <w:szCs w:val="22"/>
          <w:lang w:val="en-US" w:eastAsia="zh-CN" w:bidi="ar-SA"/>
        </w:rPr>
        <w:t>与效率指标评估包括但不限于以下指标：</w:t>
      </w:r>
    </w:p>
    <w:p>
      <w:pPr>
        <w:pStyle w:val="247"/>
        <w:keepNext w:val="0"/>
        <w:keepLines w:val="0"/>
        <w:pageBreakBefore w:val="0"/>
        <w:widowControl/>
        <w:numPr>
          <w:ilvl w:val="0"/>
          <w:numId w:val="0"/>
        </w:numPr>
        <w:kinsoku/>
        <w:wordWrap/>
        <w:overflowPunct/>
        <w:topLinePunct w:val="0"/>
        <w:autoSpaceDE w:val="0"/>
        <w:autoSpaceDN w:val="0"/>
        <w:bidi w:val="0"/>
        <w:adjustRightInd/>
        <w:snapToGrid/>
        <w:ind w:firstLine="420" w:firstLineChars="200"/>
        <w:jc w:val="both"/>
        <w:textAlignment w:val="auto"/>
        <w:outlineLvl w:val="9"/>
        <w:rPr>
          <w:rFonts w:hint="default" w:ascii="Times New Roman" w:cs="Times New Roman"/>
          <w:b w:val="0"/>
          <w:bCs w:val="0"/>
          <w:color w:val="auto"/>
          <w:kern w:val="0"/>
          <w:sz w:val="21"/>
          <w:szCs w:val="22"/>
          <w:lang w:val="en-US" w:eastAsia="zh-CN" w:bidi="ar-SA"/>
        </w:rPr>
      </w:pPr>
      <w:r>
        <w:rPr>
          <w:rFonts w:hint="eastAsia" w:ascii="Times New Roman" w:cs="Times New Roman"/>
          <w:b w:val="0"/>
          <w:bCs w:val="0"/>
          <w:color w:val="auto"/>
          <w:kern w:val="0"/>
          <w:sz w:val="21"/>
          <w:szCs w:val="21"/>
          <w:lang w:val="en-US" w:eastAsia="zh-CN" w:bidi="ar-SA"/>
        </w:rPr>
        <w:t>——固体矿产矿山总数，评估</w:t>
      </w:r>
      <w:r>
        <w:rPr>
          <w:rFonts w:hint="eastAsia" w:ascii="Times New Roman" w:cs="Times New Roman"/>
          <w:b w:val="0"/>
          <w:bCs w:val="0"/>
          <w:color w:val="auto"/>
          <w:kern w:val="0"/>
          <w:sz w:val="21"/>
          <w:szCs w:val="22"/>
          <w:lang w:val="en-US" w:eastAsia="zh-CN" w:bidi="ar-SA"/>
        </w:rPr>
        <w:t>时点固体矿山总数实际值小于或等于比对值，则视为完成指标要求，大于比对值，则视为未完成指标要求。固体矿产矿山总数总结评估比对值为规划目标指标值，中期评估比对值为规划目标指标值与基期值的算数平均数。</w:t>
      </w:r>
    </w:p>
    <w:p>
      <w:pPr>
        <w:pStyle w:val="247"/>
        <w:keepNext w:val="0"/>
        <w:keepLines w:val="0"/>
        <w:pageBreakBefore w:val="0"/>
        <w:widowControl/>
        <w:kinsoku/>
        <w:wordWrap/>
        <w:overflowPunct/>
        <w:topLinePunct w:val="0"/>
        <w:autoSpaceDE w:val="0"/>
        <w:autoSpaceDN w:val="0"/>
        <w:bidi w:val="0"/>
        <w:adjustRightInd/>
        <w:snapToGrid/>
        <w:ind w:left="0" w:leftChars="0" w:firstLine="420" w:firstLineChars="200"/>
        <w:jc w:val="both"/>
        <w:textAlignment w:val="auto"/>
        <w:outlineLvl w:val="9"/>
        <w:rPr>
          <w:rFonts w:hint="default" w:ascii="Times New Roman" w:cs="Times New Roman"/>
          <w:b w:val="0"/>
          <w:bCs w:val="0"/>
          <w:color w:val="auto"/>
          <w:kern w:val="0"/>
          <w:sz w:val="21"/>
          <w:szCs w:val="22"/>
          <w:lang w:val="en-US" w:eastAsia="zh-CN" w:bidi="ar-SA"/>
        </w:rPr>
      </w:pPr>
      <w:r>
        <w:rPr>
          <w:rFonts w:hint="eastAsia" w:hAnsi="宋体" w:cs="宋体"/>
          <w:b w:val="0"/>
          <w:bCs w:val="0"/>
          <w:color w:val="auto"/>
          <w:kern w:val="0"/>
          <w:sz w:val="21"/>
          <w:szCs w:val="22"/>
          <w:lang w:val="en-US" w:eastAsia="zh-CN" w:bidi="ar-SA"/>
        </w:rPr>
        <w:t>——</w:t>
      </w:r>
      <w:r>
        <w:rPr>
          <w:rFonts w:hint="default" w:ascii="Times New Roman" w:cs="Times New Roman"/>
          <w:b w:val="0"/>
          <w:bCs w:val="0"/>
          <w:color w:val="auto"/>
          <w:kern w:val="0"/>
          <w:sz w:val="21"/>
          <w:szCs w:val="21"/>
          <w:lang w:val="en-US" w:eastAsia="zh-CN" w:bidi="ar-SA"/>
        </w:rPr>
        <w:t>通过</w:t>
      </w:r>
      <w:r>
        <w:rPr>
          <w:rFonts w:hint="eastAsia" w:ascii="Times New Roman" w:cs="Times New Roman"/>
          <w:b w:val="0"/>
          <w:bCs w:val="0"/>
          <w:color w:val="auto"/>
          <w:kern w:val="0"/>
          <w:sz w:val="21"/>
          <w:szCs w:val="21"/>
          <w:lang w:val="en-US" w:eastAsia="zh-CN" w:bidi="ar-SA"/>
        </w:rPr>
        <w:t>大中型矿山占比</w:t>
      </w:r>
      <w:r>
        <w:rPr>
          <w:rFonts w:hint="default" w:ascii="Times New Roman" w:eastAsia="宋体" w:cs="Times New Roman"/>
          <w:b w:val="0"/>
          <w:bCs w:val="0"/>
          <w:color w:val="auto"/>
          <w:kern w:val="0"/>
          <w:sz w:val="21"/>
          <w:szCs w:val="21"/>
          <w:lang w:val="en-US" w:eastAsia="zh-CN" w:bidi="ar-SA"/>
        </w:rPr>
        <w:t>、</w:t>
      </w:r>
      <w:r>
        <w:rPr>
          <w:rFonts w:hint="eastAsia" w:ascii="Times New Roman" w:cs="Times New Roman"/>
          <w:b w:val="0"/>
          <w:bCs w:val="0"/>
          <w:color w:val="auto"/>
          <w:kern w:val="0"/>
          <w:sz w:val="21"/>
          <w:szCs w:val="21"/>
          <w:lang w:val="en-US" w:eastAsia="zh-CN" w:bidi="ar-SA"/>
        </w:rPr>
        <w:t>固体矿产小型矿山减少比例、大中型矿山产能占比</w:t>
      </w:r>
      <w:r>
        <w:rPr>
          <w:rFonts w:hint="default" w:ascii="Times New Roman" w:cs="Times New Roman"/>
          <w:b w:val="0"/>
          <w:bCs w:val="0"/>
          <w:color w:val="auto"/>
          <w:kern w:val="0"/>
          <w:sz w:val="21"/>
          <w:szCs w:val="21"/>
          <w:lang w:val="en-US" w:eastAsia="zh-CN" w:bidi="ar-SA"/>
        </w:rPr>
        <w:t>实际值与</w:t>
      </w:r>
      <w:r>
        <w:rPr>
          <w:rFonts w:hint="eastAsia" w:ascii="Times New Roman" w:cs="Times New Roman"/>
          <w:b w:val="0"/>
          <w:bCs w:val="0"/>
          <w:color w:val="auto"/>
          <w:kern w:val="0"/>
          <w:sz w:val="21"/>
          <w:szCs w:val="21"/>
          <w:lang w:val="en-US" w:eastAsia="zh-CN" w:bidi="ar-SA"/>
        </w:rPr>
        <w:t>比对</w:t>
      </w:r>
      <w:r>
        <w:rPr>
          <w:rFonts w:hint="default" w:ascii="Times New Roman" w:cs="Times New Roman"/>
          <w:b w:val="0"/>
          <w:bCs w:val="0"/>
          <w:color w:val="auto"/>
          <w:kern w:val="0"/>
          <w:sz w:val="21"/>
          <w:szCs w:val="21"/>
          <w:lang w:val="en-US" w:eastAsia="zh-CN" w:bidi="ar-SA"/>
        </w:rPr>
        <w:t>值</w:t>
      </w:r>
      <w:r>
        <w:rPr>
          <w:rFonts w:hint="eastAsia" w:ascii="Times New Roman" w:cs="Times New Roman"/>
          <w:b w:val="0"/>
          <w:bCs w:val="0"/>
          <w:color w:val="auto"/>
          <w:kern w:val="0"/>
          <w:sz w:val="21"/>
          <w:szCs w:val="21"/>
          <w:lang w:val="en-US" w:eastAsia="zh-CN" w:bidi="ar-SA"/>
        </w:rPr>
        <w:t>对比，将比值小于80%、80%~＜100%、大于100%划分为“较差”“一般”“达标”三个级别。</w:t>
      </w:r>
      <w:r>
        <w:rPr>
          <w:rFonts w:hint="eastAsia" w:hAnsi="宋体" w:cs="宋体"/>
          <w:b w:val="0"/>
          <w:bCs w:val="0"/>
          <w:color w:val="auto"/>
          <w:kern w:val="0"/>
          <w:sz w:val="21"/>
          <w:szCs w:val="22"/>
          <w:lang w:val="en-US" w:eastAsia="zh-CN" w:bidi="ar-SA"/>
        </w:rPr>
        <w:t>大中型矿山占比、固体矿产小型矿山数量减少比例与</w:t>
      </w:r>
      <w:r>
        <w:rPr>
          <w:rFonts w:hint="eastAsia" w:ascii="Times New Roman" w:cs="Times New Roman"/>
          <w:b w:val="0"/>
          <w:bCs w:val="0"/>
          <w:color w:val="auto"/>
          <w:kern w:val="0"/>
          <w:sz w:val="21"/>
          <w:szCs w:val="21"/>
          <w:lang w:val="en-US" w:eastAsia="zh-CN" w:bidi="ar-SA"/>
        </w:rPr>
        <w:t>大中型矿山产能占比</w:t>
      </w:r>
      <w:r>
        <w:rPr>
          <w:rFonts w:hint="eastAsia" w:hAnsi="宋体" w:cs="宋体"/>
          <w:b w:val="0"/>
          <w:bCs w:val="0"/>
          <w:color w:val="auto"/>
          <w:kern w:val="0"/>
          <w:sz w:val="21"/>
          <w:szCs w:val="22"/>
          <w:lang w:val="en-US" w:eastAsia="zh-CN" w:bidi="ar-SA"/>
        </w:rPr>
        <w:t>的总结评估比对值为规划</w:t>
      </w:r>
      <w:r>
        <w:rPr>
          <w:rFonts w:hint="eastAsia" w:ascii="Times New Roman" w:cs="Times New Roman"/>
          <w:b w:val="0"/>
          <w:bCs w:val="0"/>
          <w:color w:val="auto"/>
          <w:kern w:val="0"/>
          <w:sz w:val="21"/>
          <w:szCs w:val="22"/>
          <w:lang w:val="en-US" w:eastAsia="zh-CN" w:bidi="ar-SA"/>
        </w:rPr>
        <w:t>目标指标值，</w:t>
      </w:r>
      <w:r>
        <w:rPr>
          <w:rFonts w:hint="eastAsia" w:hAnsi="宋体" w:cs="宋体"/>
          <w:b w:val="0"/>
          <w:bCs w:val="0"/>
          <w:color w:val="auto"/>
          <w:kern w:val="0"/>
          <w:sz w:val="21"/>
          <w:szCs w:val="22"/>
          <w:lang w:val="en-US" w:eastAsia="zh-CN" w:bidi="ar-SA"/>
        </w:rPr>
        <w:t>中期评估比对值为</w:t>
      </w:r>
      <w:r>
        <w:rPr>
          <w:rFonts w:hint="eastAsia" w:ascii="Times New Roman" w:cs="Times New Roman"/>
          <w:b w:val="0"/>
          <w:bCs w:val="0"/>
          <w:color w:val="auto"/>
          <w:kern w:val="0"/>
          <w:sz w:val="21"/>
          <w:szCs w:val="22"/>
          <w:lang w:val="en-US" w:eastAsia="zh-CN" w:bidi="ar-SA"/>
        </w:rPr>
        <w:t>规划目标指标值与基期值的算数平均数。增设的特色指标可根据前述方法进行评估。</w:t>
      </w:r>
    </w:p>
    <w:p>
      <w:pPr>
        <w:pStyle w:val="247"/>
        <w:keepNext w:val="0"/>
        <w:keepLines w:val="0"/>
        <w:pageBreakBefore w:val="0"/>
        <w:widowControl/>
        <w:numPr>
          <w:ilvl w:val="0"/>
          <w:numId w:val="0"/>
        </w:numPr>
        <w:kinsoku/>
        <w:wordWrap/>
        <w:overflowPunct/>
        <w:topLinePunct w:val="0"/>
        <w:autoSpaceDE w:val="0"/>
        <w:autoSpaceDN w:val="0"/>
        <w:bidi w:val="0"/>
        <w:adjustRightInd/>
        <w:snapToGrid/>
        <w:ind w:firstLine="420" w:firstLineChars="200"/>
        <w:jc w:val="both"/>
        <w:textAlignment w:val="auto"/>
        <w:outlineLvl w:val="9"/>
        <w:rPr>
          <w:rFonts w:hint="eastAsia" w:ascii="Times New Roman" w:cs="Times New Roman"/>
          <w:b w:val="0"/>
          <w:bCs w:val="0"/>
          <w:color w:val="auto"/>
          <w:kern w:val="0"/>
          <w:sz w:val="21"/>
          <w:szCs w:val="22"/>
          <w:lang w:val="en-US" w:eastAsia="zh-CN" w:bidi="ar-SA"/>
        </w:rPr>
      </w:pPr>
      <w:r>
        <w:rPr>
          <w:rFonts w:hint="eastAsia" w:ascii="Times New Roman" w:cs="Times New Roman"/>
          <w:b w:val="0"/>
          <w:bCs w:val="0"/>
          <w:color w:val="auto"/>
          <w:kern w:val="0"/>
          <w:sz w:val="21"/>
          <w:szCs w:val="22"/>
          <w:lang w:val="en-US" w:eastAsia="zh-CN" w:bidi="ar-SA"/>
        </w:rPr>
        <w:t>——“三率”水平提高比例，统计</w:t>
      </w:r>
      <w:r>
        <w:rPr>
          <w:rFonts w:hint="eastAsia" w:ascii="Times New Roman" w:cs="Times New Roman"/>
          <w:color w:val="auto"/>
          <w:kern w:val="0"/>
          <w:sz w:val="21"/>
          <w:szCs w:val="22"/>
          <w:vertAlign w:val="baseline"/>
          <w:lang w:val="en-US" w:eastAsia="zh-CN" w:bidi="ar-SA"/>
        </w:rPr>
        <w:t>评估时点区域内所有矿山开采回采率、选矿回收率、共伴生矿产综合利用率提高值的算数平均值，与比对值进行对比得到实施程度，将比值小于60%、60%~</w:t>
      </w:r>
      <w:r>
        <w:rPr>
          <w:rFonts w:hint="eastAsia" w:ascii="Times New Roman" w:cs="Times New Roman"/>
          <w:b w:val="0"/>
          <w:bCs w:val="0"/>
          <w:color w:val="auto"/>
          <w:kern w:val="0"/>
          <w:sz w:val="21"/>
          <w:szCs w:val="21"/>
          <w:lang w:val="en-US" w:eastAsia="zh-CN" w:bidi="ar-SA"/>
        </w:rPr>
        <w:t>＜</w:t>
      </w:r>
      <w:r>
        <w:rPr>
          <w:rFonts w:hint="eastAsia" w:ascii="Times New Roman" w:cs="Times New Roman"/>
          <w:color w:val="auto"/>
          <w:kern w:val="0"/>
          <w:sz w:val="21"/>
          <w:szCs w:val="22"/>
          <w:vertAlign w:val="baseline"/>
          <w:lang w:val="en-US" w:eastAsia="zh-CN" w:bidi="ar-SA"/>
        </w:rPr>
        <w:t>100%、大于100%划分为</w:t>
      </w:r>
      <w:r>
        <w:rPr>
          <w:rFonts w:hint="eastAsia" w:ascii="Times New Roman" w:cs="Times New Roman"/>
          <w:b w:val="0"/>
          <w:bCs w:val="0"/>
          <w:color w:val="auto"/>
          <w:kern w:val="0"/>
          <w:sz w:val="21"/>
          <w:szCs w:val="21"/>
          <w:lang w:val="en-US" w:eastAsia="zh-CN" w:bidi="ar-SA"/>
        </w:rPr>
        <w:t>“较差”“一般”“达标”三</w:t>
      </w:r>
      <w:r>
        <w:rPr>
          <w:rFonts w:hint="eastAsia" w:ascii="Times New Roman" w:cs="Times New Roman"/>
          <w:color w:val="auto"/>
          <w:kern w:val="0"/>
          <w:sz w:val="21"/>
          <w:szCs w:val="22"/>
          <w:vertAlign w:val="baseline"/>
          <w:lang w:val="en-US" w:eastAsia="zh-CN" w:bidi="ar-SA"/>
        </w:rPr>
        <w:t>个级别。各指标</w:t>
      </w:r>
      <w:r>
        <w:rPr>
          <w:rFonts w:hint="eastAsia" w:hAnsi="宋体" w:cs="宋体"/>
          <w:b w:val="0"/>
          <w:bCs w:val="0"/>
          <w:color w:val="auto"/>
          <w:kern w:val="0"/>
          <w:sz w:val="21"/>
          <w:szCs w:val="22"/>
          <w:lang w:val="en-US" w:eastAsia="zh-CN" w:bidi="ar-SA"/>
        </w:rPr>
        <w:t>总结评估</w:t>
      </w:r>
      <w:r>
        <w:rPr>
          <w:rFonts w:hint="eastAsia" w:ascii="Times New Roman" w:cs="Times New Roman"/>
          <w:b w:val="0"/>
          <w:bCs w:val="0"/>
          <w:color w:val="auto"/>
          <w:kern w:val="0"/>
          <w:sz w:val="21"/>
          <w:szCs w:val="22"/>
          <w:lang w:val="en-US" w:eastAsia="zh-CN" w:bidi="ar-SA"/>
        </w:rPr>
        <w:t>比对值为规划目标指标值，中期评估比对值为规划目标指标值的二分之一。</w:t>
      </w:r>
    </w:p>
    <w:p>
      <w:pPr>
        <w:pStyle w:val="247"/>
        <w:keepNext w:val="0"/>
        <w:keepLines w:val="0"/>
        <w:pageBreakBefore w:val="0"/>
        <w:widowControl/>
        <w:numPr>
          <w:ilvl w:val="0"/>
          <w:numId w:val="0"/>
        </w:numPr>
        <w:kinsoku/>
        <w:wordWrap/>
        <w:overflowPunct/>
        <w:topLinePunct w:val="0"/>
        <w:autoSpaceDE w:val="0"/>
        <w:autoSpaceDN w:val="0"/>
        <w:bidi w:val="0"/>
        <w:adjustRightInd/>
        <w:snapToGrid/>
        <w:ind w:firstLine="420" w:firstLineChars="200"/>
        <w:jc w:val="both"/>
        <w:textAlignment w:val="auto"/>
        <w:outlineLvl w:val="9"/>
        <w:rPr>
          <w:rFonts w:hint="eastAsia" w:ascii="Times New Roman" w:cs="Times New Roman"/>
          <w:b w:val="0"/>
          <w:bCs w:val="0"/>
          <w:color w:val="auto"/>
          <w:kern w:val="0"/>
          <w:sz w:val="21"/>
          <w:szCs w:val="22"/>
          <w:lang w:val="en-US" w:eastAsia="zh-CN" w:bidi="ar-SA"/>
        </w:rPr>
      </w:pPr>
      <w:r>
        <w:rPr>
          <w:rFonts w:hint="eastAsia" w:ascii="Times New Roman" w:cs="Times New Roman"/>
          <w:b w:val="0"/>
          <w:bCs w:val="0"/>
          <w:color w:val="auto"/>
          <w:kern w:val="0"/>
          <w:sz w:val="21"/>
          <w:szCs w:val="22"/>
          <w:lang w:val="en-US" w:eastAsia="zh-CN" w:bidi="ar-SA"/>
        </w:rPr>
        <w:t>当结构与效率指标分矿种、分类别、分行业等设立时，先求出规划实际设立的结构与效率分项指标完成程度百分比值，再根据公式（2）得到结构与效率指标实施程度综合百分比值，再根据上述指标级别划分标准，得到综合后的指标级别。</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21"/>
          <w:szCs w:val="21"/>
          <w:lang w:val="en-US" w:eastAsia="zh-CN" w:bidi="ar-SA"/>
        </w:rPr>
        <w:t xml:space="preserve">                        </w:t>
      </w:r>
      <w:r>
        <w:rPr>
          <w:rFonts w:hint="eastAsia" w:ascii="Times New Roman" w:cs="Times New Roman"/>
          <w:b w:val="0"/>
          <w:bCs w:val="0"/>
          <w:color w:val="auto"/>
          <w:kern w:val="0"/>
          <w:position w:val="-24"/>
          <w:sz w:val="21"/>
          <w:szCs w:val="21"/>
          <w:lang w:val="en-US" w:eastAsia="zh-CN" w:bidi="ar-SA"/>
        </w:rPr>
        <w:object>
          <v:shape id="_x0000_i1027" o:spt="75" type="#_x0000_t75" style="height:31pt;width:85.95pt;" o:ole="t" filled="f" o:preferrelative="t" stroked="f" coordsize="21600,21600">
            <v:path/>
            <v:fill on="f" focussize="0,0"/>
            <v:stroke on="f"/>
            <v:imagedata r:id="rId34" o:title=""/>
            <o:lock v:ext="edit" aspectratio="t"/>
            <w10:wrap type="none"/>
            <w10:anchorlock/>
          </v:shape>
          <o:OLEObject Type="Embed" ProgID="Equation.KSEE3" ShapeID="_x0000_i1027" DrawAspect="Content" ObjectID="_1468075727" r:id="rId33">
            <o:LockedField>false</o:LockedField>
          </o:OLEObject>
        </w:object>
      </w:r>
      <w:r>
        <w:rPr>
          <w:rFonts w:hint="eastAsia" w:ascii="Times New Roman" w:cs="Times New Roman"/>
          <w:b w:val="0"/>
          <w:bCs w:val="0"/>
          <w:color w:val="auto"/>
          <w:kern w:val="0"/>
          <w:sz w:val="21"/>
          <w:szCs w:val="21"/>
          <w:lang w:val="en-US" w:eastAsia="zh-CN" w:bidi="ar-SA"/>
        </w:rPr>
        <w:t xml:space="preserve">                           （2）</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default" w:ascii="Times New Roman" w:cs="Times New Roman"/>
          <w:b w:val="0"/>
          <w:bCs w:val="0"/>
          <w:color w:val="auto"/>
          <w:kern w:val="0"/>
          <w:sz w:val="21"/>
          <w:szCs w:val="21"/>
          <w:lang w:val="en-US" w:eastAsia="zh-CN" w:bidi="ar-SA"/>
        </w:rPr>
      </w:pPr>
      <w:r>
        <w:rPr>
          <w:rFonts w:hint="default" w:ascii="Times New Roman" w:cs="Times New Roman"/>
          <w:b w:val="0"/>
          <w:bCs w:val="0"/>
          <w:color w:val="auto"/>
          <w:kern w:val="0"/>
          <w:sz w:val="21"/>
          <w:szCs w:val="21"/>
          <w:lang w:val="en-US" w:eastAsia="zh-CN" w:bidi="ar-SA"/>
        </w:rPr>
        <w:t>式中：</w:t>
      </w:r>
      <w:r>
        <w:rPr>
          <w:rFonts w:hint="default" w:ascii="Times New Roman" w:cs="Times New Roman"/>
          <w:b w:val="0"/>
          <w:bCs w:val="0"/>
          <w:i/>
          <w:iCs/>
          <w:color w:val="auto"/>
          <w:kern w:val="0"/>
          <w:sz w:val="21"/>
          <w:szCs w:val="21"/>
          <w:lang w:val="en-US" w:eastAsia="zh-CN" w:bidi="ar-SA"/>
        </w:rPr>
        <w:t>P</w:t>
      </w:r>
      <w:r>
        <w:rPr>
          <w:rFonts w:hint="eastAsia" w:ascii="Times New Roman" w:cs="Times New Roman"/>
          <w:b w:val="0"/>
          <w:bCs w:val="0"/>
          <w:i/>
          <w:iCs/>
          <w:color w:val="auto"/>
          <w:kern w:val="0"/>
          <w:sz w:val="21"/>
          <w:szCs w:val="21"/>
          <w:vertAlign w:val="subscript"/>
          <w:lang w:val="en-US" w:eastAsia="zh-CN" w:bidi="ar-SA"/>
        </w:rPr>
        <w:t>S</w:t>
      </w:r>
      <w:r>
        <w:rPr>
          <w:rFonts w:hint="default" w:ascii="Times New Roman" w:cs="Times New Roman"/>
          <w:b w:val="0"/>
          <w:bCs w:val="0"/>
          <w:color w:val="auto"/>
          <w:kern w:val="0"/>
          <w:sz w:val="21"/>
          <w:szCs w:val="21"/>
          <w:lang w:val="en-US" w:eastAsia="zh-CN" w:bidi="ar-SA"/>
        </w:rPr>
        <w:t>为</w:t>
      </w:r>
      <w:r>
        <w:rPr>
          <w:rFonts w:hint="eastAsia" w:ascii="Times New Roman" w:cs="Times New Roman"/>
          <w:b w:val="0"/>
          <w:bCs w:val="0"/>
          <w:color w:val="auto"/>
          <w:kern w:val="0"/>
          <w:sz w:val="21"/>
          <w:szCs w:val="21"/>
          <w:lang w:val="en-US" w:eastAsia="zh-CN" w:bidi="ar-SA"/>
        </w:rPr>
        <w:t>结构与效率指标实施程度综合</w:t>
      </w:r>
      <w:r>
        <w:rPr>
          <w:rFonts w:hint="default" w:ascii="Times New Roman" w:cs="Times New Roman"/>
          <w:b w:val="0"/>
          <w:bCs w:val="0"/>
          <w:color w:val="auto"/>
          <w:kern w:val="0"/>
          <w:sz w:val="21"/>
          <w:szCs w:val="21"/>
          <w:lang w:val="en-US" w:eastAsia="zh-CN" w:bidi="ar-SA"/>
        </w:rPr>
        <w:t>百分比值</w:t>
      </w:r>
      <w:r>
        <w:rPr>
          <w:rFonts w:hint="eastAsia" w:ascii="Times New Roman" w:cs="Times New Roman"/>
          <w:b w:val="0"/>
          <w:bCs w:val="0"/>
          <w:color w:val="auto"/>
          <w:kern w:val="0"/>
          <w:sz w:val="21"/>
          <w:szCs w:val="21"/>
          <w:lang w:val="en-US" w:eastAsia="zh-CN" w:bidi="ar-SA"/>
        </w:rPr>
        <w:t>（%）</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default" w:ascii="Times New Roman" w:cs="Times New Roman"/>
          <w:b w:val="0"/>
          <w:bCs w:val="0"/>
          <w:i w:val="0"/>
          <w:iCs w:val="0"/>
          <w:color w:val="auto"/>
          <w:kern w:val="0"/>
          <w:sz w:val="21"/>
          <w:szCs w:val="21"/>
          <w:vertAlign w:val="baseline"/>
          <w:lang w:val="en-US" w:eastAsia="zh-CN" w:bidi="ar-SA"/>
        </w:rPr>
      </w:pPr>
      <w:r>
        <w:rPr>
          <w:rFonts w:hint="default" w:ascii="Times New Roman" w:cs="Times New Roman"/>
          <w:b w:val="0"/>
          <w:bCs w:val="0"/>
          <w:color w:val="auto"/>
          <w:kern w:val="0"/>
          <w:sz w:val="21"/>
          <w:szCs w:val="21"/>
          <w:lang w:val="en-US" w:eastAsia="zh-CN" w:bidi="ar-SA"/>
        </w:rPr>
        <w:t xml:space="preserve">      </w:t>
      </w:r>
      <w:r>
        <w:rPr>
          <w:rFonts w:hint="default" w:ascii="Times New Roman" w:cs="Times New Roman"/>
          <w:b w:val="0"/>
          <w:bCs w:val="0"/>
          <w:i/>
          <w:iCs/>
          <w:color w:val="auto"/>
          <w:kern w:val="0"/>
          <w:sz w:val="21"/>
          <w:szCs w:val="21"/>
          <w:lang w:val="en-US" w:eastAsia="zh-CN" w:bidi="ar-SA"/>
        </w:rPr>
        <w:t>P</w:t>
      </w:r>
      <w:r>
        <w:rPr>
          <w:rFonts w:hint="eastAsia" w:ascii="Times New Roman" w:cs="Times New Roman"/>
          <w:b w:val="0"/>
          <w:bCs w:val="0"/>
          <w:i/>
          <w:iCs/>
          <w:color w:val="auto"/>
          <w:kern w:val="0"/>
          <w:sz w:val="21"/>
          <w:szCs w:val="21"/>
          <w:vertAlign w:val="subscript"/>
          <w:lang w:val="en-US" w:eastAsia="zh-CN" w:bidi="ar-SA"/>
        </w:rPr>
        <w:t>m</w:t>
      </w:r>
      <w:r>
        <w:rPr>
          <w:rFonts w:hint="default" w:ascii="Times New Roman" w:cs="Times New Roman"/>
          <w:b w:val="0"/>
          <w:bCs w:val="0"/>
          <w:i w:val="0"/>
          <w:iCs w:val="0"/>
          <w:color w:val="auto"/>
          <w:kern w:val="0"/>
          <w:sz w:val="21"/>
          <w:szCs w:val="21"/>
          <w:vertAlign w:val="baseline"/>
          <w:lang w:val="en-US" w:eastAsia="zh-CN" w:bidi="ar-SA"/>
        </w:rPr>
        <w:t>为</w:t>
      </w:r>
      <w:r>
        <w:rPr>
          <w:rFonts w:hint="eastAsia" w:ascii="Times New Roman" w:cs="Times New Roman"/>
          <w:b w:val="0"/>
          <w:bCs w:val="0"/>
          <w:i w:val="0"/>
          <w:iCs w:val="0"/>
          <w:color w:val="auto"/>
          <w:kern w:val="0"/>
          <w:sz w:val="21"/>
          <w:szCs w:val="21"/>
          <w:vertAlign w:val="baseline"/>
          <w:lang w:val="en-US" w:eastAsia="zh-CN" w:bidi="ar-SA"/>
        </w:rPr>
        <w:t>规划实际设立的结构与效率分项指标实</w:t>
      </w:r>
      <w:r>
        <w:rPr>
          <w:rFonts w:hint="default" w:ascii="Times New Roman" w:cs="Times New Roman"/>
          <w:b w:val="0"/>
          <w:bCs w:val="0"/>
          <w:i w:val="0"/>
          <w:iCs w:val="0"/>
          <w:color w:val="auto"/>
          <w:kern w:val="0"/>
          <w:sz w:val="21"/>
          <w:szCs w:val="21"/>
          <w:vertAlign w:val="baseline"/>
          <w:lang w:val="en-US" w:eastAsia="zh-CN" w:bidi="ar-SA"/>
        </w:rPr>
        <w:t>施程度百分比值</w:t>
      </w:r>
      <w:r>
        <w:rPr>
          <w:rFonts w:hint="eastAsia" w:ascii="Times New Roman" w:cs="Times New Roman"/>
          <w:b w:val="0"/>
          <w:bCs w:val="0"/>
          <w:i w:val="0"/>
          <w:iCs w:val="0"/>
          <w:color w:val="auto"/>
          <w:kern w:val="0"/>
          <w:sz w:val="21"/>
          <w:szCs w:val="21"/>
          <w:vertAlign w:val="baseline"/>
          <w:lang w:val="en-US" w:eastAsia="zh-CN" w:bidi="ar-SA"/>
        </w:rPr>
        <w:t>（%）</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after="0"/>
        <w:ind w:left="0" w:leftChars="0" w:firstLine="420" w:firstLineChars="200"/>
        <w:jc w:val="left"/>
        <w:textAlignment w:val="auto"/>
        <w:outlineLvl w:val="9"/>
        <w:rPr>
          <w:rFonts w:hint="eastAsia" w:ascii="Times New Roman" w:hAnsi="Times New Roman" w:cs="Times New Roman"/>
          <w:b w:val="0"/>
          <w:bCs w:val="0"/>
          <w:i w:val="0"/>
          <w:iCs w:val="0"/>
          <w:color w:val="auto"/>
          <w:kern w:val="0"/>
          <w:sz w:val="21"/>
          <w:szCs w:val="21"/>
          <w:vertAlign w:val="baseline"/>
          <w:lang w:val="en-US" w:eastAsia="zh-CN" w:bidi="ar-SA"/>
        </w:rPr>
      </w:pPr>
      <w:r>
        <w:rPr>
          <w:rFonts w:hint="default" w:ascii="Times New Roman" w:cs="Times New Roman"/>
          <w:b w:val="0"/>
          <w:bCs w:val="0"/>
          <w:i w:val="0"/>
          <w:iCs w:val="0"/>
          <w:color w:val="auto"/>
          <w:kern w:val="0"/>
          <w:sz w:val="21"/>
          <w:szCs w:val="21"/>
          <w:vertAlign w:val="baseline"/>
          <w:lang w:val="en-US" w:eastAsia="zh-CN" w:bidi="ar-SA"/>
        </w:rPr>
        <w:t xml:space="preserve">     </w:t>
      </w:r>
      <w:r>
        <w:rPr>
          <w:rFonts w:hint="default" w:ascii="Times New Roman" w:cs="Times New Roman"/>
          <w:b w:val="0"/>
          <w:bCs w:val="0"/>
          <w:i/>
          <w:iCs/>
          <w:color w:val="auto"/>
          <w:kern w:val="0"/>
          <w:sz w:val="21"/>
          <w:szCs w:val="21"/>
          <w:vertAlign w:val="baseline"/>
          <w:lang w:val="en-US" w:eastAsia="zh-CN" w:bidi="ar-SA"/>
        </w:rPr>
        <w:t xml:space="preserve"> n</w:t>
      </w:r>
      <w:r>
        <w:rPr>
          <w:rFonts w:hint="eastAsia" w:ascii="Times New Roman" w:hAnsi="Times New Roman" w:cs="Times New Roman"/>
          <w:b w:val="0"/>
          <w:bCs w:val="0"/>
          <w:i w:val="0"/>
          <w:iCs w:val="0"/>
          <w:color w:val="auto"/>
          <w:kern w:val="0"/>
          <w:sz w:val="21"/>
          <w:szCs w:val="21"/>
          <w:vertAlign w:val="baseline"/>
          <w:lang w:val="en-US" w:eastAsia="zh-CN" w:bidi="ar-SA"/>
        </w:rPr>
        <w:t>为</w:t>
      </w:r>
      <w:r>
        <w:rPr>
          <w:rFonts w:hint="eastAsia" w:ascii="Times New Roman" w:cs="Times New Roman"/>
          <w:b w:val="0"/>
          <w:bCs w:val="0"/>
          <w:i w:val="0"/>
          <w:iCs w:val="0"/>
          <w:color w:val="auto"/>
          <w:kern w:val="0"/>
          <w:sz w:val="21"/>
          <w:szCs w:val="21"/>
          <w:vertAlign w:val="baseline"/>
          <w:lang w:val="en-US" w:eastAsia="zh-CN" w:bidi="ar-SA"/>
        </w:rPr>
        <w:t>待综合的分项指标数。</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default" w:ascii="Times New Roman"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A.2.4.1 结构与效率综合评级</w:t>
      </w:r>
    </w:p>
    <w:p>
      <w:pPr>
        <w:pStyle w:val="24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420" w:firstLineChars="200"/>
        <w:jc w:val="center"/>
        <w:textAlignment w:val="auto"/>
        <w:outlineLvl w:val="9"/>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 xml:space="preserve"> </w:t>
      </w:r>
    </w:p>
    <w:p>
      <w:pPr>
        <w:pStyle w:val="247"/>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420" w:firstLineChars="200"/>
        <w:jc w:val="center"/>
        <w:textAlignment w:val="auto"/>
        <w:outlineLvl w:val="9"/>
        <w:rPr>
          <w:rFonts w:hint="default"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表A.5 结构效率评级表</w:t>
      </w:r>
    </w:p>
    <w:tbl>
      <w:tblPr>
        <w:tblStyle w:val="2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700"/>
        <w:gridCol w:w="1878"/>
        <w:gridCol w:w="1654"/>
        <w:gridCol w:w="1332"/>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625" w:type="dxa"/>
            <w:noWrap w:val="0"/>
            <w:vAlign w:val="center"/>
          </w:tcPr>
          <w:p>
            <w:pPr>
              <w:pStyle w:val="247"/>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级别</w:t>
            </w: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矿山总数</w:t>
            </w:r>
          </w:p>
        </w:tc>
        <w:tc>
          <w:tcPr>
            <w:tcW w:w="1878"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大中型矿山数量占比</w:t>
            </w:r>
          </w:p>
        </w:tc>
        <w:tc>
          <w:tcPr>
            <w:tcW w:w="1654"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bCs/>
                <w:color w:val="auto"/>
                <w:kern w:val="0"/>
                <w:sz w:val="18"/>
                <w:szCs w:val="18"/>
                <w:vertAlign w:val="baseline"/>
                <w:lang w:val="en-US" w:eastAsia="zh-CN" w:bidi="ar-SA"/>
              </w:rPr>
            </w:pPr>
            <w:r>
              <w:rPr>
                <w:rFonts w:hint="default" w:ascii="Times New Roman" w:hAnsi="Times New Roman" w:cs="Times New Roman"/>
                <w:b/>
                <w:bCs/>
                <w:color w:val="auto"/>
                <w:kern w:val="0"/>
                <w:sz w:val="18"/>
                <w:szCs w:val="18"/>
                <w:vertAlign w:val="baseline"/>
                <w:lang w:val="en-US" w:eastAsia="zh-CN" w:bidi="ar-SA"/>
              </w:rPr>
              <w:t>固体矿产小型矿山数量减少比例</w:t>
            </w:r>
          </w:p>
        </w:tc>
        <w:tc>
          <w:tcPr>
            <w:tcW w:w="1332"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vertAlign w:val="baseline"/>
                <w:lang w:val="en-US" w:eastAsia="zh-CN" w:bidi="ar-SA"/>
              </w:rPr>
              <w:t>大中型矿山产能占比</w:t>
            </w:r>
          </w:p>
        </w:tc>
        <w:tc>
          <w:tcPr>
            <w:tcW w:w="1332"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bCs/>
                <w:color w:val="auto"/>
                <w:kern w:val="0"/>
                <w:sz w:val="18"/>
                <w:szCs w:val="18"/>
                <w:vertAlign w:val="baseline"/>
                <w:lang w:val="en-US" w:eastAsia="zh-CN" w:bidi="ar-SA"/>
              </w:rPr>
            </w:pPr>
            <w:r>
              <w:rPr>
                <w:rFonts w:hint="eastAsia" w:ascii="Times New Roman" w:cs="Times New Roman"/>
                <w:b/>
                <w:bCs/>
                <w:color w:val="auto"/>
                <w:kern w:val="0"/>
                <w:sz w:val="18"/>
                <w:szCs w:val="18"/>
                <w:lang w:val="en-US" w:eastAsia="zh-CN" w:bidi="ar-SA"/>
              </w:rPr>
              <w:t>“三率”水平提高比例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2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1级</w:t>
            </w: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完成指标要求</w:t>
            </w:r>
          </w:p>
        </w:tc>
        <w:tc>
          <w:tcPr>
            <w:tcW w:w="6196" w:type="dxa"/>
            <w:gridSpan w:val="4"/>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全部达标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2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2级</w:t>
            </w: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完成指标要求</w:t>
            </w:r>
          </w:p>
        </w:tc>
        <w:tc>
          <w:tcPr>
            <w:tcW w:w="6196" w:type="dxa"/>
            <w:gridSpan w:val="4"/>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仅有一项一般或较差</w:t>
            </w:r>
          </w:p>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625" w:type="dxa"/>
            <w:vMerge w:val="restart"/>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3级</w:t>
            </w: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完成指标要求</w:t>
            </w:r>
          </w:p>
        </w:tc>
        <w:tc>
          <w:tcPr>
            <w:tcW w:w="6196" w:type="dxa"/>
            <w:gridSpan w:val="4"/>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存在两项及以上为一般或较差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625" w:type="dxa"/>
            <w:vMerge w:val="continue"/>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lang w:val="en-US" w:eastAsia="zh-CN" w:bidi="ar-SA"/>
              </w:rPr>
              <w:t>未完成指标要求</w:t>
            </w:r>
          </w:p>
        </w:tc>
        <w:tc>
          <w:tcPr>
            <w:tcW w:w="6196" w:type="dxa"/>
            <w:gridSpan w:val="4"/>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每一项都可为达标或一般</w:t>
            </w:r>
          </w:p>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lang w:val="en-US" w:eastAsia="zh-CN" w:bidi="ar-SA"/>
              </w:rPr>
              <w:t>—</w:t>
            </w:r>
          </w:p>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eastAsia" w:ascii="Times New Roman" w:cs="Times New Roman"/>
                <w:b w:val="0"/>
                <w:bCs w:val="0"/>
                <w:color w:val="auto"/>
                <w:kern w:val="0"/>
                <w:sz w:val="18"/>
                <w:szCs w:val="18"/>
                <w:vertAlign w:val="baseline"/>
                <w:lang w:val="en-US" w:eastAsia="zh-CN" w:bidi="ar-SA"/>
              </w:rPr>
            </w:pPr>
            <w:r>
              <w:rPr>
                <w:rFonts w:hint="eastAsia" w:ascii="Times New Roman" w:cs="Times New Roman"/>
                <w:b w:val="0"/>
                <w:bCs w:val="0"/>
                <w:color w:val="auto"/>
                <w:kern w:val="0"/>
                <w:sz w:val="18"/>
                <w:szCs w:val="1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625"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4级</w:t>
            </w:r>
          </w:p>
        </w:tc>
        <w:tc>
          <w:tcPr>
            <w:tcW w:w="1700" w:type="dxa"/>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未完成指标要求</w:t>
            </w:r>
          </w:p>
        </w:tc>
        <w:tc>
          <w:tcPr>
            <w:tcW w:w="6196" w:type="dxa"/>
            <w:gridSpan w:val="4"/>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center"/>
              <w:textAlignment w:val="auto"/>
              <w:outlineLvl w:val="9"/>
              <w:rPr>
                <w:rFonts w:hint="default"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存在一项较差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8521" w:type="dxa"/>
            <w:gridSpan w:val="6"/>
            <w:noWrap w:val="0"/>
            <w:vAlign w:val="center"/>
          </w:tcPr>
          <w:p>
            <w:pPr>
              <w:pStyle w:val="247"/>
              <w:keepNext w:val="0"/>
              <w:keepLines w:val="0"/>
              <w:pageBreakBefore w:val="0"/>
              <w:widowControl/>
              <w:kinsoku/>
              <w:wordWrap/>
              <w:overflowPunct/>
              <w:topLinePunct w:val="0"/>
              <w:autoSpaceDE w:val="0"/>
              <w:autoSpaceDN w:val="0"/>
              <w:bidi w:val="0"/>
              <w:adjustRightInd/>
              <w:snapToGrid/>
              <w:spacing w:before="0" w:beforeLines="0" w:after="0" w:afterLines="0"/>
              <w:ind w:firstLine="0" w:firstLineChars="0"/>
              <w:jc w:val="both"/>
              <w:textAlignment w:val="auto"/>
              <w:outlineLvl w:val="9"/>
              <w:rPr>
                <w:rFonts w:hint="eastAsia" w:ascii="Times New Roman" w:cs="Times New Roman"/>
                <w:b w:val="0"/>
                <w:bCs w:val="0"/>
                <w:color w:val="auto"/>
                <w:kern w:val="0"/>
                <w:sz w:val="18"/>
                <w:szCs w:val="18"/>
                <w:lang w:val="en-US" w:eastAsia="zh-CN" w:bidi="ar-SA"/>
              </w:rPr>
            </w:pPr>
            <w:r>
              <w:rPr>
                <w:rFonts w:hint="eastAsia" w:ascii="Times New Roman" w:cs="Times New Roman"/>
                <w:b w:val="0"/>
                <w:bCs w:val="0"/>
                <w:color w:val="auto"/>
                <w:kern w:val="0"/>
                <w:sz w:val="18"/>
                <w:szCs w:val="18"/>
                <w:lang w:val="en-US" w:eastAsia="zh-CN" w:bidi="ar-SA"/>
              </w:rPr>
              <w:t>注1：除矿山总数以外，其他指标应根据规划内容确定。</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eastAsia" w:ascii="Times New Roman" w:eastAsia="黑体" w:cs="Times New Roman"/>
          <w:b w:val="0"/>
          <w:bCs w:val="0"/>
          <w:color w:val="auto"/>
          <w:kern w:val="0"/>
          <w:sz w:val="21"/>
          <w:szCs w:val="22"/>
          <w:lang w:val="en-US" w:eastAsia="zh-CN" w:bidi="ar-SA"/>
        </w:rPr>
      </w:pPr>
      <w:r>
        <w:rPr>
          <w:rFonts w:hint="eastAsia" w:ascii="Times New Roman" w:eastAsia="黑体" w:cs="Times New Roman"/>
          <w:b w:val="0"/>
          <w:bCs w:val="0"/>
          <w:color w:val="auto"/>
          <w:kern w:val="0"/>
          <w:sz w:val="21"/>
          <w:szCs w:val="22"/>
          <w:lang w:val="en-US" w:eastAsia="zh-CN" w:bidi="ar-SA"/>
        </w:rPr>
        <w:t>A.2.5 矿业绿色发展评估</w:t>
      </w:r>
    </w:p>
    <w:p>
      <w:pPr>
        <w:pStyle w:val="247"/>
        <w:keepNext w:val="0"/>
        <w:keepLines w:val="0"/>
        <w:pageBreakBefore w:val="0"/>
        <w:widowControl/>
        <w:kinsoku/>
        <w:wordWrap/>
        <w:overflowPunct/>
        <w:topLinePunct w:val="0"/>
        <w:autoSpaceDE w:val="0"/>
        <w:autoSpaceDN w:val="0"/>
        <w:bidi w:val="0"/>
        <w:adjustRightInd/>
        <w:snapToGrid/>
        <w:ind w:left="0" w:leftChars="0" w:firstLine="420" w:firstLineChars="0"/>
        <w:jc w:val="both"/>
        <w:textAlignment w:val="auto"/>
        <w:outlineLvl w:val="9"/>
        <w:rPr>
          <w:rFonts w:hint="eastAsia" w:ascii="Times New Roman" w:cs="Times New Roman"/>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矿业</w:t>
      </w:r>
      <w:r>
        <w:rPr>
          <w:rFonts w:hint="eastAsia" w:hAnsi="宋体" w:cs="宋体"/>
          <w:b w:val="0"/>
          <w:bCs w:val="0"/>
          <w:color w:val="auto"/>
          <w:kern w:val="0"/>
          <w:sz w:val="21"/>
          <w:szCs w:val="22"/>
          <w:lang w:val="en-US" w:eastAsia="zh-CN" w:bidi="ar-SA"/>
        </w:rPr>
        <w:t>绿色发展宜包括但不限于绿色矿山达标率等指标，统计评估时点规划区达到绿色矿山标准要求的矿山比例，依据规划目标指标评估其实施程度。</w:t>
      </w:r>
      <w:r>
        <w:rPr>
          <w:rFonts w:hint="eastAsia" w:ascii="Times New Roman" w:cs="Times New Roman"/>
          <w:b w:val="0"/>
          <w:bCs w:val="0"/>
          <w:color w:val="auto"/>
          <w:kern w:val="0"/>
          <w:sz w:val="21"/>
          <w:szCs w:val="22"/>
          <w:lang w:val="en-US" w:eastAsia="zh-CN" w:bidi="ar-SA"/>
        </w:rPr>
        <w:t>若矿业绿色发展指标在两项以上，可参照其他类别综合评级方法，确定评估级别。</w:t>
      </w:r>
    </w:p>
    <w:p>
      <w:pPr>
        <w:widowControl/>
        <w:adjustRightInd/>
        <w:spacing w:line="240" w:lineRule="auto"/>
        <w:jc w:val="left"/>
        <w:rPr>
          <w:rFonts w:ascii="Times New Roman" w:hAnsi="Times New Roman" w:eastAsia="黑体"/>
          <w:kern w:val="0"/>
          <w:szCs w:val="20"/>
        </w:rPr>
      </w:pPr>
      <w:r>
        <w:rPr>
          <w:rFonts w:ascii="Times New Roman" w:hAnsi="Times New Roman"/>
        </w:rPr>
        <w:br w:type="page"/>
      </w:r>
    </w:p>
    <w:p>
      <w:pPr>
        <w:pStyle w:val="79"/>
        <w:keepNext w:val="0"/>
        <w:keepLines w:val="0"/>
        <w:pageBreakBefore w:val="0"/>
        <w:widowControl/>
        <w:kinsoku/>
        <w:wordWrap/>
        <w:overflowPunct/>
        <w:topLinePunct w:val="0"/>
        <w:autoSpaceDE/>
        <w:autoSpaceDN/>
        <w:bidi w:val="0"/>
        <w:adjustRightInd/>
        <w:snapToGrid/>
        <w:spacing w:after="156"/>
        <w:textAlignment w:val="auto"/>
        <w:rPr>
          <w:rFonts w:ascii="Times New Roman"/>
        </w:rPr>
      </w:pPr>
      <w:bookmarkStart w:id="132" w:name="_Toc8842"/>
      <w:bookmarkStart w:id="133" w:name="_Toc3686"/>
      <w:r>
        <w:rPr>
          <w:rFonts w:ascii="Times New Roman"/>
        </w:rPr>
        <w:br w:type="textWrapping"/>
      </w:r>
      <w:bookmarkStart w:id="134" w:name="_Toc153213881"/>
      <w:bookmarkStart w:id="135" w:name="_Toc153207371"/>
      <w:bookmarkStart w:id="136" w:name="_Toc153180505"/>
      <w:bookmarkStart w:id="137" w:name="_Toc152605202"/>
      <w:bookmarkStart w:id="138" w:name="_Toc152604359"/>
      <w:bookmarkStart w:id="139" w:name="_Toc153180451"/>
      <w:bookmarkStart w:id="140" w:name="_Toc153272236"/>
      <w:bookmarkStart w:id="141" w:name="_Toc153213935"/>
      <w:r>
        <w:rPr>
          <w:rFonts w:ascii="Times New Roman"/>
        </w:rPr>
        <w:t>（资料性）</w:t>
      </w:r>
      <w:r>
        <w:rPr>
          <w:rFonts w:ascii="Times New Roman"/>
        </w:rPr>
        <w:br w:type="textWrapping"/>
      </w:r>
      <w:bookmarkEnd w:id="134"/>
      <w:bookmarkEnd w:id="135"/>
      <w:bookmarkEnd w:id="136"/>
      <w:bookmarkEnd w:id="137"/>
      <w:bookmarkEnd w:id="138"/>
      <w:bookmarkEnd w:id="139"/>
      <w:bookmarkEnd w:id="140"/>
      <w:bookmarkEnd w:id="141"/>
      <w:r>
        <w:rPr>
          <w:rFonts w:hint="eastAsia" w:ascii="Times New Roman" w:eastAsia="黑体" w:cs="Times New Roman"/>
          <w:b w:val="0"/>
          <w:bCs w:val="0"/>
          <w:color w:val="auto"/>
          <w:kern w:val="0"/>
          <w:sz w:val="21"/>
          <w:szCs w:val="22"/>
          <w:lang w:val="en-US" w:eastAsia="zh-CN" w:bidi="ar-SA"/>
        </w:rPr>
        <w:t>矿产资源规划实施评估报告编写提纲</w:t>
      </w:r>
      <w:bookmarkEnd w:id="132"/>
      <w:bookmarkEnd w:id="133"/>
    </w:p>
    <w:p>
      <w:pPr>
        <w:pStyle w:val="24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Chars="0"/>
        <w:textAlignment w:val="auto"/>
        <w:outlineLvl w:val="9"/>
        <w:rPr>
          <w:rFonts w:hint="eastAsia" w:hAnsi="Times New Roman" w:cs="Times New Roman"/>
          <w:lang w:val="en-US" w:eastAsia="zh-CN"/>
        </w:rPr>
      </w:pPr>
      <w:r>
        <w:rPr>
          <w:rFonts w:hint="eastAsia" w:cs="Times New Roman"/>
          <w:lang w:val="en-US" w:eastAsia="zh-CN"/>
        </w:rPr>
        <w:t xml:space="preserve">B.1 </w:t>
      </w:r>
      <w:r>
        <w:rPr>
          <w:rFonts w:hint="eastAsia" w:hAnsi="Times New Roman" w:cs="Times New Roman"/>
          <w:lang w:val="en-US" w:eastAsia="zh-CN"/>
        </w:rPr>
        <w:t>前言</w:t>
      </w:r>
    </w:p>
    <w:p>
      <w:pPr>
        <w:pStyle w:val="24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Times New Roman" w:hAnsi="Times New Roman" w:eastAsia="仿宋" w:cs="Times New Roman"/>
          <w:sz w:val="24"/>
          <w:lang w:val="en-US" w:eastAsia="zh-CN"/>
        </w:rPr>
      </w:pPr>
      <w:r>
        <w:rPr>
          <w:rFonts w:hint="eastAsia" w:cs="Times New Roman"/>
          <w:lang w:val="en-US" w:eastAsia="zh-CN"/>
        </w:rPr>
        <w:t>简述项目来源，评估工作组织过程及主要成果。分析矿产资源勘查开发最新形势，概述规划实施的总体进展。</w:t>
      </w:r>
    </w:p>
    <w:p>
      <w:pPr>
        <w:pStyle w:val="24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Chars="0"/>
        <w:textAlignment w:val="auto"/>
        <w:outlineLvl w:val="9"/>
        <w:rPr>
          <w:rFonts w:hint="eastAsia" w:cs="Times New Roman"/>
          <w:lang w:val="en-US" w:eastAsia="zh-CN"/>
        </w:rPr>
      </w:pPr>
      <w:r>
        <w:rPr>
          <w:rFonts w:hint="eastAsia" w:cs="Times New Roman"/>
          <w:lang w:val="en-US" w:eastAsia="zh-CN"/>
        </w:rPr>
        <w:t>B.2 规划目标指标完成情况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cs="Times New Roman"/>
          <w:sz w:val="21"/>
          <w:lang w:eastAsia="zh-CN"/>
        </w:rPr>
      </w:pPr>
      <w:r>
        <w:rPr>
          <w:rFonts w:hint="eastAsia" w:cs="Times New Roman"/>
          <w:sz w:val="21"/>
          <w:lang w:eastAsia="zh-CN"/>
        </w:rPr>
        <w:t>采用本文件提供的评估方法，分析目标指标的实施成效与进展。</w:t>
      </w:r>
    </w:p>
    <w:p>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240" w:lineRule="auto"/>
        <w:ind w:leftChars="0" w:firstLine="0" w:firstLineChars="0"/>
        <w:textAlignment w:val="auto"/>
        <w:outlineLvl w:val="9"/>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B.3 规划布局优化与建设情况</w:t>
      </w:r>
    </w:p>
    <w:p>
      <w:pPr>
        <w:keepNext w:val="0"/>
        <w:keepLines w:val="0"/>
        <w:pageBreakBefore w:val="0"/>
        <w:widowControl w:val="0"/>
        <w:numPr>
          <w:ilvl w:val="0"/>
          <w:numId w:val="0"/>
        </w:numPr>
        <w:kinsoku/>
        <w:wordWrap/>
        <w:overflowPunct/>
        <w:topLinePunct w:val="0"/>
        <w:bidi w:val="0"/>
        <w:spacing w:before="0" w:beforeLines="0" w:after="0" w:afterLines="0" w:line="240" w:lineRule="auto"/>
        <w:ind w:left="0" w:leftChars="0" w:firstLine="420" w:firstLineChars="200"/>
        <w:textAlignment w:val="auto"/>
        <w:outlineLvl w:val="9"/>
        <w:rPr>
          <w:rFonts w:hint="eastAsia" w:ascii="黑体" w:hAnsi="Times New Roman" w:eastAsia="黑体" w:cs="Times New Roman"/>
          <w:kern w:val="0"/>
          <w:szCs w:val="20"/>
          <w:lang w:val="en-US" w:eastAsia="zh-CN"/>
        </w:rPr>
      </w:pPr>
      <w:r>
        <w:rPr>
          <w:rFonts w:hint="eastAsia" w:cs="Times New Roman"/>
          <w:sz w:val="21"/>
          <w:lang w:eastAsia="zh-CN"/>
        </w:rPr>
        <w:t>扼要</w:t>
      </w:r>
      <w:r>
        <w:rPr>
          <w:rFonts w:hint="eastAsia" w:eastAsia="宋体" w:cs="Times New Roman"/>
          <w:sz w:val="21"/>
          <w:lang w:eastAsia="zh-CN"/>
        </w:rPr>
        <w:t>概述能源资源基地、国家规划矿区建设情况，总结重点勘查区、重点开采区等划定成效尽可能用数据支撑</w:t>
      </w:r>
      <w:r>
        <w:rPr>
          <w:rFonts w:hint="eastAsia" w:cs="Times New Roman"/>
          <w:sz w:val="21"/>
          <w:lang w:eastAsia="zh-CN"/>
        </w:rPr>
        <w:t>观点</w:t>
      </w:r>
      <w:r>
        <w:rPr>
          <w:rFonts w:hint="eastAsia" w:eastAsia="宋体" w:cs="Times New Roman"/>
          <w:sz w:val="21"/>
          <w:lang w:eastAsia="zh-CN"/>
        </w:rPr>
        <w:t>。</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line="240" w:lineRule="auto"/>
        <w:ind w:leftChars="0" w:firstLine="0" w:firstLineChars="0"/>
        <w:textAlignment w:val="auto"/>
        <w:outlineLvl w:val="9"/>
        <w:rPr>
          <w:rFonts w:hint="eastAsia" w:hAnsi="Times New Roman" w:cs="Times New Roman"/>
          <w:lang w:val="en-US" w:eastAsia="zh-CN"/>
        </w:rPr>
      </w:pPr>
      <w:r>
        <w:rPr>
          <w:rFonts w:hint="eastAsia" w:ascii="黑体" w:eastAsia="黑体" w:cs="Times New Roman"/>
          <w:kern w:val="0"/>
          <w:szCs w:val="20"/>
          <w:lang w:val="en-US" w:eastAsia="zh-CN"/>
        </w:rPr>
        <w:t xml:space="preserve">B.4 </w:t>
      </w:r>
      <w:r>
        <w:rPr>
          <w:rFonts w:hint="eastAsia" w:ascii="黑体" w:hAnsi="Times New Roman" w:eastAsia="黑体" w:cs="Times New Roman"/>
          <w:kern w:val="0"/>
          <w:szCs w:val="20"/>
          <w:lang w:val="en-US" w:eastAsia="zh-CN"/>
        </w:rPr>
        <w:t>规划重点任务实施情况</w:t>
      </w:r>
    </w:p>
    <w:p>
      <w:pPr>
        <w:pStyle w:val="247"/>
        <w:keepNext w:val="0"/>
        <w:keepLines w:val="0"/>
        <w:pageBreakBefore w:val="0"/>
        <w:widowControl/>
        <w:numPr>
          <w:ilvl w:val="0"/>
          <w:numId w:val="0"/>
        </w:numPr>
        <w:kinsoku/>
        <w:wordWrap/>
        <w:overflowPunct/>
        <w:topLinePunct w:val="0"/>
        <w:autoSpaceDE w:val="0"/>
        <w:autoSpaceDN w:val="0"/>
        <w:bidi w:val="0"/>
        <w:adjustRightInd/>
        <w:snapToGrid/>
        <w:spacing w:before="0" w:beforeLines="0" w:after="0" w:afterLines="0" w:line="240" w:lineRule="auto"/>
        <w:ind w:leftChars="0" w:firstLine="420" w:firstLineChars="200"/>
        <w:textAlignment w:val="auto"/>
        <w:outlineLvl w:val="9"/>
        <w:rPr>
          <w:rFonts w:hint="eastAsia" w:ascii="Calibri" w:hAnsi="Calibri" w:eastAsia="宋体" w:cs="Times New Roman"/>
          <w:kern w:val="2"/>
          <w:szCs w:val="22"/>
          <w:lang w:val="en-US" w:eastAsia="zh-CN"/>
        </w:rPr>
      </w:pPr>
      <w:r>
        <w:rPr>
          <w:rFonts w:hint="eastAsia" w:ascii="Calibri" w:hAnsi="Calibri" w:cs="Times New Roman"/>
          <w:kern w:val="2"/>
          <w:szCs w:val="22"/>
          <w:lang w:val="en-US" w:eastAsia="zh-CN"/>
        </w:rPr>
        <w:t>概述规划期内开展</w:t>
      </w:r>
      <w:r>
        <w:rPr>
          <w:rFonts w:hint="eastAsia" w:ascii="Calibri" w:hAnsi="Calibri" w:cs="Times New Roman"/>
          <w:kern w:val="2"/>
          <w:szCs w:val="22"/>
          <w:highlight w:val="none"/>
          <w:lang w:val="en-US" w:eastAsia="zh-CN"/>
        </w:rPr>
        <w:t>的矿产资源调查评价与勘查、矿产资源开发利用与保护，以及矿业绿色发展等</w:t>
      </w:r>
      <w:r>
        <w:rPr>
          <w:rFonts w:hint="eastAsia" w:ascii="Calibri" w:hAnsi="Calibri" w:cs="Times New Roman"/>
          <w:kern w:val="2"/>
          <w:szCs w:val="22"/>
          <w:lang w:val="en-US" w:eastAsia="zh-CN"/>
        </w:rPr>
        <w:t>任务实施进展与成效</w:t>
      </w:r>
      <w:r>
        <w:rPr>
          <w:rFonts w:hint="eastAsia" w:ascii="Calibri" w:hAnsi="Calibri" w:cs="Times New Roman"/>
          <w:kern w:val="2"/>
          <w:szCs w:val="22"/>
          <w:highlight w:val="none"/>
          <w:lang w:val="en-US" w:eastAsia="zh-CN"/>
        </w:rPr>
        <w:t>；扼要</w:t>
      </w:r>
      <w:r>
        <w:rPr>
          <w:rFonts w:hint="eastAsia" w:ascii="Calibri" w:hAnsi="Calibri" w:cs="Times New Roman"/>
          <w:kern w:val="2"/>
          <w:szCs w:val="22"/>
          <w:lang w:val="en-US" w:eastAsia="zh-CN"/>
        </w:rPr>
        <w:t>概述勘查规划区块</w:t>
      </w:r>
      <w:r>
        <w:rPr>
          <w:rFonts w:hint="eastAsia" w:ascii="Calibri" w:hAnsi="Calibri" w:cs="Times New Roman"/>
          <w:kern w:val="2"/>
          <w:szCs w:val="22"/>
          <w:highlight w:val="none"/>
          <w:lang w:val="en-US" w:eastAsia="zh-CN"/>
        </w:rPr>
        <w:t>、开采规划区块</w:t>
      </w:r>
      <w:r>
        <w:rPr>
          <w:rFonts w:hint="eastAsia" w:ascii="Calibri" w:hAnsi="Calibri" w:cs="Times New Roman"/>
          <w:kern w:val="2"/>
          <w:szCs w:val="22"/>
          <w:lang w:val="en-US" w:eastAsia="zh-CN"/>
        </w:rPr>
        <w:t>的总体实施情况与评估结论。</w:t>
      </w:r>
      <w:r>
        <w:rPr>
          <w:rFonts w:hint="eastAsia" w:ascii="Calibri" w:hAnsi="Calibri" w:eastAsia="宋体" w:cs="Times New Roman"/>
          <w:color w:val="auto"/>
          <w:kern w:val="2"/>
          <w:sz w:val="21"/>
          <w:szCs w:val="22"/>
          <w:lang w:val="en-US" w:eastAsia="zh-CN" w:bidi="ar-SA"/>
        </w:rPr>
        <w:t>总结提炼具有示范效应的绿色勘查、绿色</w:t>
      </w:r>
      <w:r>
        <w:rPr>
          <w:rFonts w:hint="eastAsia" w:ascii="Calibri" w:hAnsi="Calibri" w:cs="Times New Roman"/>
          <w:kern w:val="2"/>
          <w:szCs w:val="22"/>
          <w:highlight w:val="none"/>
          <w:lang w:val="en-US" w:eastAsia="zh-CN"/>
        </w:rPr>
        <w:t>开采典型示范案例</w:t>
      </w:r>
      <w:r>
        <w:rPr>
          <w:rFonts w:hint="eastAsia" w:ascii="Calibri" w:hAnsi="Calibri" w:eastAsia="宋体" w:cs="Times New Roman"/>
          <w:color w:val="auto"/>
          <w:kern w:val="2"/>
          <w:sz w:val="21"/>
          <w:szCs w:val="22"/>
          <w:lang w:val="en-US" w:eastAsia="zh-CN" w:bidi="ar-SA"/>
        </w:rPr>
        <w:t>。</w:t>
      </w:r>
    </w:p>
    <w:p>
      <w:pPr>
        <w:pStyle w:val="24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outlineLvl w:val="9"/>
        <w:rPr>
          <w:rFonts w:hint="eastAsia" w:ascii="黑体" w:eastAsia="黑体" w:cs="Times New Roman"/>
          <w:sz w:val="21"/>
          <w:szCs w:val="22"/>
          <w:lang w:val="en-US" w:eastAsia="zh-CN" w:bidi="ar-SA"/>
        </w:rPr>
      </w:pPr>
      <w:r>
        <w:rPr>
          <w:rFonts w:hint="eastAsia" w:cs="Times New Roman"/>
          <w:sz w:val="21"/>
          <w:lang w:val="en-US" w:eastAsia="zh-CN" w:bidi="ar-SA"/>
        </w:rPr>
        <w:t xml:space="preserve">B.5 </w:t>
      </w:r>
      <w:r>
        <w:rPr>
          <w:rFonts w:hint="eastAsia" w:ascii="黑体" w:eastAsia="黑体" w:cs="Times New Roman"/>
          <w:sz w:val="21"/>
          <w:lang w:val="en-US" w:eastAsia="zh-CN" w:bidi="ar-SA"/>
        </w:rPr>
        <w:t>重大工程</w:t>
      </w:r>
      <w:r>
        <w:rPr>
          <w:rFonts w:hint="eastAsia" w:cs="Times New Roman"/>
          <w:sz w:val="21"/>
          <w:lang w:val="en-US" w:eastAsia="zh-CN" w:bidi="ar-SA"/>
        </w:rPr>
        <w:t>或重点项目</w:t>
      </w:r>
      <w:r>
        <w:rPr>
          <w:rFonts w:hint="eastAsia" w:ascii="黑体" w:eastAsia="黑体" w:cs="Times New Roman"/>
          <w:sz w:val="21"/>
          <w:lang w:val="en-US" w:eastAsia="zh-CN" w:bidi="ar-SA"/>
        </w:rPr>
        <w:t>实施情况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Calibri" w:hAnsi="Calibri" w:eastAsia="宋体" w:cs="Times New Roman"/>
          <w:sz w:val="21"/>
          <w:lang w:eastAsia="zh-CN"/>
        </w:rPr>
      </w:pPr>
      <w:r>
        <w:rPr>
          <w:rFonts w:hint="eastAsia" w:cs="Times New Roman"/>
          <w:sz w:val="21"/>
          <w:lang w:eastAsia="zh-CN"/>
        </w:rPr>
        <w:t>围绕规划设置的资源勘查、开采、保护与矿区生态修复等方面设置的重大工程或项目，概述工程或项目的实施进展与成效。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textAlignment w:val="auto"/>
        <w:outlineLvl w:val="9"/>
        <w:rPr>
          <w:rFonts w:hint="eastAsia" w:ascii="黑体" w:hAnsi="Times New Roman" w:eastAsia="黑体" w:cs="Times New Roman"/>
          <w:kern w:val="0"/>
          <w:sz w:val="21"/>
          <w:szCs w:val="20"/>
          <w:lang w:eastAsia="zh-CN"/>
        </w:rPr>
      </w:pPr>
      <w:r>
        <w:rPr>
          <w:rFonts w:hint="eastAsia" w:ascii="黑体" w:hAnsi="Times New Roman" w:eastAsia="黑体" w:cs="Times New Roman"/>
          <w:kern w:val="0"/>
          <w:sz w:val="21"/>
          <w:szCs w:val="20"/>
          <w:lang w:val="en-US" w:eastAsia="zh-CN"/>
        </w:rPr>
        <w:t xml:space="preserve">B.6 </w:t>
      </w:r>
      <w:r>
        <w:rPr>
          <w:rFonts w:hint="eastAsia" w:ascii="黑体" w:hAnsi="Times New Roman" w:eastAsia="黑体" w:cs="Times New Roman"/>
          <w:kern w:val="0"/>
          <w:sz w:val="21"/>
          <w:szCs w:val="20"/>
          <w:lang w:eastAsia="zh-CN"/>
        </w:rPr>
        <w:t>规划实施与管理情况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Calibri" w:hAnsi="Calibri" w:eastAsia="宋体" w:cs="Times New Roman"/>
          <w:sz w:val="21"/>
          <w:lang w:eastAsia="zh-CN"/>
        </w:rPr>
      </w:pPr>
      <w:r>
        <w:rPr>
          <w:rFonts w:hint="eastAsia" w:ascii="Calibri" w:hAnsi="Calibri" w:eastAsia="宋体" w:cs="Times New Roman"/>
          <w:sz w:val="21"/>
          <w:lang w:eastAsia="zh-CN"/>
        </w:rPr>
        <w:t>总结规划管理制度建设和执行情况，</w:t>
      </w:r>
      <w:r>
        <w:rPr>
          <w:rFonts w:hint="eastAsia" w:cs="Times New Roman"/>
          <w:sz w:val="21"/>
          <w:lang w:eastAsia="zh-CN"/>
        </w:rPr>
        <w:t>梳理发现违反规划的行为，概述支持规划实施的好经验、好做法。</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0" w:firstLineChars="0"/>
        <w:textAlignment w:val="auto"/>
        <w:outlineLvl w:val="9"/>
        <w:rPr>
          <w:rFonts w:hint="default" w:ascii="黑体" w:hAnsi="Times New Roman" w:eastAsia="黑体" w:cs="Times New Roman"/>
          <w:kern w:val="0"/>
          <w:sz w:val="21"/>
          <w:lang w:val="en-US" w:eastAsia="zh-CN"/>
        </w:rPr>
      </w:pPr>
      <w:r>
        <w:rPr>
          <w:rFonts w:hint="eastAsia" w:ascii="黑体" w:hAnsi="Times New Roman" w:eastAsia="黑体" w:cs="Times New Roman"/>
          <w:kern w:val="0"/>
          <w:sz w:val="21"/>
          <w:lang w:val="en-US" w:eastAsia="zh-CN"/>
        </w:rPr>
        <w:t xml:space="preserve">B.7 </w:t>
      </w:r>
      <w:r>
        <w:rPr>
          <w:rFonts w:hint="eastAsia" w:ascii="黑体" w:hAnsi="Times New Roman" w:eastAsia="黑体" w:cs="Times New Roman"/>
          <w:kern w:val="0"/>
          <w:sz w:val="21"/>
          <w:lang w:eastAsia="zh-CN"/>
        </w:rPr>
        <w:t>问题</w:t>
      </w:r>
      <w:r>
        <w:rPr>
          <w:rFonts w:hint="eastAsia" w:ascii="黑体" w:hAnsi="Times New Roman" w:eastAsia="黑体" w:cs="Times New Roman"/>
          <w:kern w:val="0"/>
          <w:sz w:val="21"/>
          <w:lang w:val="en-US" w:eastAsia="zh-CN"/>
        </w:rPr>
        <w:t>及建议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9"/>
        <w:rPr>
          <w:rFonts w:hint="eastAsia" w:ascii="Calibri" w:eastAsia="宋体" w:cs="Times New Roman"/>
          <w:sz w:val="21"/>
          <w:szCs w:val="22"/>
          <w:lang w:val="en-US" w:eastAsia="zh-CN" w:bidi="ar-SA"/>
        </w:rPr>
      </w:pPr>
      <w:r>
        <w:rPr>
          <w:rFonts w:hint="eastAsia" w:cs="Times New Roman"/>
          <w:kern w:val="2"/>
          <w:sz w:val="21"/>
          <w:lang w:val="en-US" w:eastAsia="zh-CN"/>
        </w:rPr>
        <w:t>总结规划实施中存在的问题，并进行深入分析。</w:t>
      </w:r>
      <w:r>
        <w:rPr>
          <w:rFonts w:hint="eastAsia" w:ascii="Calibri" w:hAnsi="Calibri" w:eastAsia="宋体" w:cs="Times New Roman"/>
          <w:kern w:val="2"/>
          <w:sz w:val="21"/>
          <w:szCs w:val="22"/>
          <w:lang w:val="en-US" w:eastAsia="zh-CN" w:bidi="ar-SA"/>
        </w:rPr>
        <w:t>根据</w:t>
      </w:r>
      <w:r>
        <w:rPr>
          <w:rFonts w:hint="eastAsia" w:cs="Times New Roman"/>
          <w:kern w:val="2"/>
          <w:sz w:val="21"/>
          <w:szCs w:val="22"/>
          <w:lang w:val="en-US" w:eastAsia="zh-CN" w:bidi="ar-SA"/>
        </w:rPr>
        <w:t>规划实施进展情况以及国内外矿产资源勘查开发环境新变化，提出推进规划实施的举措，论证是否需要对规划相关内容进行调整和修订。</w:t>
      </w:r>
    </w:p>
    <w:p>
      <w:pPr>
        <w:pStyle w:val="24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Chars="0"/>
        <w:textAlignment w:val="auto"/>
        <w:outlineLvl w:val="9"/>
        <w:rPr>
          <w:rFonts w:hint="eastAsia" w:cs="Times New Roman"/>
          <w:lang w:val="en-US" w:eastAsia="zh-CN"/>
        </w:rPr>
      </w:pPr>
      <w:r>
        <w:rPr>
          <w:rFonts w:hint="eastAsia" w:cs="Times New Roman"/>
          <w:lang w:val="en-US" w:eastAsia="zh-CN"/>
        </w:rPr>
        <w:t xml:space="preserve">B.8 </w:t>
      </w:r>
      <w:r>
        <w:rPr>
          <w:rFonts w:hint="eastAsia" w:hAnsi="Times New Roman" w:cs="Times New Roman"/>
          <w:lang w:val="en-US" w:eastAsia="zh-CN"/>
        </w:rPr>
        <w:t>附</w:t>
      </w:r>
      <w:r>
        <w:rPr>
          <w:rFonts w:hint="eastAsia" w:cs="Times New Roman"/>
          <w:lang w:val="en-US" w:eastAsia="zh-CN"/>
        </w:rPr>
        <w:t>表</w:t>
      </w:r>
    </w:p>
    <w:p>
      <w:pPr>
        <w:pStyle w:val="248"/>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outlineLvl w:val="9"/>
        <w:rPr>
          <w:rFonts w:hint="eastAsia" w:ascii="Calibri" w:hAnsi="Calibri" w:eastAsia="宋体" w:cs="Times New Roman"/>
          <w:kern w:val="2"/>
          <w:sz w:val="21"/>
          <w:szCs w:val="22"/>
          <w:highlight w:val="none"/>
          <w:lang w:val="en-US" w:eastAsia="zh-CN" w:bidi="ar-SA"/>
        </w:rPr>
      </w:pPr>
      <w:r>
        <w:rPr>
          <w:rFonts w:hint="eastAsia" w:ascii="Calibri" w:hAnsi="Calibri" w:eastAsia="宋体" w:cs="Times New Roman"/>
          <w:kern w:val="2"/>
          <w:sz w:val="21"/>
          <w:szCs w:val="22"/>
          <w:highlight w:val="none"/>
          <w:lang w:val="en-US" w:eastAsia="zh-CN" w:bidi="ar-SA"/>
        </w:rPr>
        <w:t>包括主要目标指标实施评估结果表（附表B.1）、能源资源基地建设情况表（附表B.2）、国家规划矿区建设情况表（附表B.3）、重点勘查区实施情况表（附表B.4）、重点开采区实施情况表（附表B.5）、重大工程或重点项目进展情况表（附表B.6）、砂石土集中开采区建设进展表（附表B.7）、新立探矿权一览表（附表B.8）、新立采矿权一览表（附表B.9）等。</w:t>
      </w: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420" w:firstLineChars="200"/>
        <w:jc w:val="both"/>
        <w:textAlignment w:val="auto"/>
        <w:outlineLvl w:val="9"/>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矿产资源规划主要目标指标实施评估结果表填写内容和要求见表B.1。</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outlineLvl w:val="9"/>
        <w:rPr>
          <w:rFonts w:hint="eastAsia" w:ascii="黑体" w:hAnsi="黑体" w:eastAsia="黑体" w:cs="黑体"/>
          <w:b w:val="0"/>
          <w:bCs w:val="0"/>
          <w:color w:val="auto"/>
          <w:kern w:val="0"/>
          <w:sz w:val="21"/>
          <w:szCs w:val="21"/>
          <w:lang w:val="en-US" w:eastAsia="zh-CN"/>
        </w:rPr>
      </w:pPr>
      <w:r>
        <w:rPr>
          <w:rFonts w:hint="eastAsia" w:ascii="黑体" w:hAnsi="黑体" w:eastAsia="黑体" w:cs="黑体"/>
          <w:b w:val="0"/>
          <w:bCs w:val="0"/>
          <w:color w:val="auto"/>
          <w:kern w:val="0"/>
          <w:sz w:val="21"/>
          <w:szCs w:val="21"/>
          <w:lang w:eastAsia="zh-CN"/>
        </w:rPr>
        <w:t>表</w:t>
      </w:r>
      <w:r>
        <w:rPr>
          <w:rFonts w:hint="eastAsia" w:ascii="黑体" w:hAnsi="黑体" w:eastAsia="黑体" w:cs="黑体"/>
          <w:b w:val="0"/>
          <w:bCs w:val="0"/>
          <w:color w:val="auto"/>
          <w:kern w:val="0"/>
          <w:sz w:val="21"/>
          <w:szCs w:val="21"/>
          <w:lang w:val="en-US" w:eastAsia="zh-CN"/>
        </w:rPr>
        <w:t xml:space="preserve">B.1 </w:t>
      </w:r>
      <w:r>
        <w:rPr>
          <w:rFonts w:hint="eastAsia" w:ascii="黑体" w:hAnsi="黑体" w:eastAsia="黑体" w:cs="黑体"/>
          <w:b w:val="0"/>
          <w:bCs w:val="0"/>
          <w:color w:val="auto"/>
          <w:kern w:val="0"/>
          <w:sz w:val="21"/>
          <w:szCs w:val="21"/>
        </w:rPr>
        <w:t>矿产资源规划主要目标</w:t>
      </w:r>
      <w:r>
        <w:rPr>
          <w:rFonts w:hint="eastAsia" w:ascii="黑体" w:hAnsi="黑体" w:eastAsia="黑体" w:cs="黑体"/>
          <w:b w:val="0"/>
          <w:bCs w:val="0"/>
          <w:color w:val="auto"/>
          <w:kern w:val="0"/>
          <w:sz w:val="21"/>
          <w:szCs w:val="21"/>
          <w:lang w:eastAsia="zh-CN"/>
        </w:rPr>
        <w:t>指标实施评估结果表</w:t>
      </w:r>
    </w:p>
    <w:tbl>
      <w:tblPr>
        <w:tblStyle w:val="28"/>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8"/>
        <w:gridCol w:w="874"/>
        <w:gridCol w:w="875"/>
        <w:gridCol w:w="920"/>
        <w:gridCol w:w="920"/>
        <w:gridCol w:w="1300"/>
        <w:gridCol w:w="659"/>
        <w:gridCol w:w="743"/>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3" w:hRule="atLeast"/>
          <w:jc w:val="center"/>
        </w:trPr>
        <w:tc>
          <w:tcPr>
            <w:tcW w:w="3267" w:type="dxa"/>
            <w:gridSpan w:val="3"/>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规划指标</w:t>
            </w:r>
          </w:p>
        </w:tc>
        <w:tc>
          <w:tcPr>
            <w:tcW w:w="920"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规划基期</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eastAsia="zh-CN"/>
              </w:rPr>
              <w:t>XX</w:t>
            </w:r>
            <w:r>
              <w:rPr>
                <w:rFonts w:hint="eastAsia" w:ascii="宋体" w:hAnsi="宋体" w:cs="宋体"/>
                <w:b/>
                <w:bCs/>
                <w:color w:val="000000"/>
                <w:sz w:val="18"/>
                <w:szCs w:val="18"/>
                <w:lang w:val="en-US" w:eastAsia="zh-CN"/>
              </w:rPr>
              <w:t>年</w:t>
            </w:r>
            <w:r>
              <w:rPr>
                <w:rFonts w:hint="eastAsia" w:ascii="宋体" w:hAnsi="宋体" w:eastAsia="宋体" w:cs="宋体"/>
                <w:b/>
                <w:bCs/>
                <w:color w:val="000000"/>
                <w:sz w:val="18"/>
                <w:szCs w:val="18"/>
              </w:rPr>
              <w:t>）</w:t>
            </w:r>
          </w:p>
        </w:tc>
        <w:tc>
          <w:tcPr>
            <w:tcW w:w="920"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规划目标</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eastAsia="zh-CN"/>
              </w:rPr>
              <w:t>XX</w:t>
            </w:r>
            <w:r>
              <w:rPr>
                <w:rFonts w:hint="eastAsia" w:ascii="宋体" w:hAnsi="宋体" w:eastAsia="宋体" w:cs="宋体"/>
                <w:b/>
                <w:bCs/>
                <w:color w:val="000000"/>
                <w:sz w:val="18"/>
                <w:szCs w:val="18"/>
              </w:rPr>
              <w:t>）</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7" w:line="280" w:lineRule="exact"/>
              <w:jc w:val="center"/>
              <w:textAlignment w:val="auto"/>
              <w:outlineLvl w:val="9"/>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rPr>
              <w:t>规划中期</w:t>
            </w:r>
            <w:r>
              <w:rPr>
                <w:rFonts w:hint="eastAsia" w:ascii="宋体" w:hAnsi="宋体" w:cs="宋体"/>
                <w:b/>
                <w:bCs/>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before="107" w:line="280" w:lineRule="exact"/>
              <w:jc w:val="center"/>
              <w:textAlignment w:val="auto"/>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eastAsia="zh-CN"/>
              </w:rPr>
              <w:t>XX</w:t>
            </w:r>
            <w:r>
              <w:rPr>
                <w:rFonts w:hint="eastAsia" w:ascii="宋体" w:hAnsi="宋体" w:cs="宋体"/>
                <w:b/>
                <w:bCs/>
                <w:color w:val="000000"/>
                <w:sz w:val="18"/>
                <w:szCs w:val="18"/>
                <w:lang w:val="en-US" w:eastAsia="zh-CN"/>
              </w:rPr>
              <w:t>年</w:t>
            </w:r>
            <w:r>
              <w:rPr>
                <w:rFonts w:hint="eastAsia" w:ascii="宋体" w:hAnsi="宋体" w:eastAsia="宋体" w:cs="宋体"/>
                <w:b/>
                <w:bCs/>
                <w:color w:val="000000"/>
                <w:sz w:val="18"/>
                <w:szCs w:val="18"/>
              </w:rPr>
              <w:t>）</w:t>
            </w:r>
          </w:p>
        </w:tc>
        <w:tc>
          <w:tcPr>
            <w:tcW w:w="1977" w:type="dxa"/>
            <w:gridSpan w:val="3"/>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 w:hRule="atLeast"/>
          <w:jc w:val="center"/>
        </w:trPr>
        <w:tc>
          <w:tcPr>
            <w:tcW w:w="1518" w:type="dxa"/>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类别</w:t>
            </w:r>
          </w:p>
        </w:tc>
        <w:tc>
          <w:tcPr>
            <w:tcW w:w="1749" w:type="dxa"/>
            <w:gridSpan w:val="2"/>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评估指标</w:t>
            </w:r>
          </w:p>
        </w:tc>
        <w:tc>
          <w:tcPr>
            <w:tcW w:w="920" w:type="dxa"/>
            <w:vMerge w:val="continue"/>
            <w:noWrap w:val="0"/>
            <w:vAlign w:val="center"/>
          </w:tcPr>
          <w:p>
            <w:pPr>
              <w:spacing w:before="107" w:line="280" w:lineRule="exact"/>
              <w:jc w:val="center"/>
              <w:outlineLvl w:val="9"/>
              <w:rPr>
                <w:b/>
                <w:bCs/>
              </w:rPr>
            </w:pPr>
          </w:p>
        </w:tc>
        <w:tc>
          <w:tcPr>
            <w:tcW w:w="920" w:type="dxa"/>
            <w:vMerge w:val="continue"/>
            <w:noWrap w:val="0"/>
            <w:vAlign w:val="center"/>
          </w:tcPr>
          <w:p>
            <w:pPr>
              <w:spacing w:before="107" w:line="280" w:lineRule="exact"/>
              <w:jc w:val="center"/>
              <w:outlineLvl w:val="9"/>
              <w:rPr>
                <w:b/>
                <w:bCs/>
              </w:rPr>
            </w:pPr>
          </w:p>
        </w:tc>
        <w:tc>
          <w:tcPr>
            <w:tcW w:w="1300" w:type="dxa"/>
            <w:vMerge w:val="continue"/>
            <w:noWrap w:val="0"/>
            <w:vAlign w:val="center"/>
          </w:tcPr>
          <w:p>
            <w:pPr>
              <w:spacing w:before="107" w:line="280" w:lineRule="exact"/>
              <w:jc w:val="center"/>
              <w:outlineLvl w:val="9"/>
              <w:rPr>
                <w:b/>
                <w:bCs/>
              </w:rPr>
            </w:pPr>
          </w:p>
        </w:tc>
        <w:tc>
          <w:tcPr>
            <w:tcW w:w="1402" w:type="dxa"/>
            <w:gridSpan w:val="2"/>
            <w:noWrap w:val="0"/>
            <w:vAlign w:val="center"/>
          </w:tcPr>
          <w:p>
            <w:pPr>
              <w:spacing w:before="107" w:line="280" w:lineRule="exact"/>
              <w:jc w:val="center"/>
              <w:outlineLvl w:val="9"/>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eastAsia="zh-CN"/>
              </w:rPr>
              <w:t>指标</w:t>
            </w:r>
          </w:p>
        </w:tc>
        <w:tc>
          <w:tcPr>
            <w:tcW w:w="575" w:type="dxa"/>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7" w:hRule="atLeast"/>
          <w:jc w:val="center"/>
        </w:trPr>
        <w:tc>
          <w:tcPr>
            <w:tcW w:w="1518" w:type="dxa"/>
            <w:vMerge w:val="restart"/>
            <w:noWrap w:val="0"/>
            <w:vAlign w:val="center"/>
          </w:tcPr>
          <w:p>
            <w:pPr>
              <w:pStyle w:val="247"/>
              <w:widowControl/>
              <w:numPr>
                <w:ilvl w:val="0"/>
                <w:numId w:val="0"/>
              </w:numPr>
              <w:autoSpaceDE w:val="0"/>
              <w:autoSpaceDN w:val="0"/>
              <w:spacing w:before="107" w:line="280" w:lineRule="exact"/>
              <w:jc w:val="center"/>
              <w:outlineLvl w:val="9"/>
              <w:rPr>
                <w:rFonts w:hint="eastAsia" w:ascii="宋体" w:hAnsi="宋体" w:eastAsia="宋体" w:cs="宋体"/>
                <w:color w:val="000000"/>
                <w:sz w:val="18"/>
                <w:szCs w:val="18"/>
              </w:rPr>
            </w:pPr>
            <w:r>
              <w:rPr>
                <w:rFonts w:hint="eastAsia" w:ascii="Times New Roman" w:cs="Times New Roman"/>
                <w:color w:val="auto"/>
                <w:kern w:val="0"/>
                <w:sz w:val="18"/>
                <w:szCs w:val="18"/>
                <w:vertAlign w:val="baseline"/>
                <w:lang w:val="en-US" w:eastAsia="zh-CN" w:bidi="ar-SA"/>
              </w:rPr>
              <w:t>基础地质调查</w:t>
            </w: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矿产地质调查</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基础地质调查</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default" w:ascii="Times New Roman" w:hAnsi="Times New Roman" w:cs="Times New Roman"/>
                <w:color w:val="auto"/>
                <w:kern w:val="0"/>
                <w:sz w:val="18"/>
                <w:szCs w:val="18"/>
                <w:vertAlign w:val="baseline"/>
                <w:lang w:val="en-US" w:eastAsia="zh-CN" w:bidi="ar-SA"/>
              </w:rPr>
              <w:t>矿产勘查</w:t>
            </w: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新发现大中型矿产地</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74" w:type="dxa"/>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新增查明资源量</w:t>
            </w: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矿种1</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59"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3" w:type="dxa"/>
            <w:vMerge w:val="restart"/>
            <w:noWrap w:val="0"/>
            <w:vAlign w:val="center"/>
          </w:tcPr>
          <w:p>
            <w:pPr>
              <w:spacing w:before="107" w:line="280" w:lineRule="exact"/>
              <w:jc w:val="center"/>
              <w:outlineLvl w:val="9"/>
              <w:rPr>
                <w:rFonts w:hint="eastAsia" w:ascii="宋体" w:hAnsi="宋体" w:cs="宋体"/>
                <w:color w:val="000000"/>
                <w:sz w:val="18"/>
                <w:szCs w:val="18"/>
                <w:lang w:eastAsia="zh-CN"/>
              </w:rPr>
            </w:pPr>
            <w:r>
              <w:rPr>
                <w:rFonts w:hint="eastAsia" w:ascii="宋体" w:hAnsi="宋体" w:cs="宋体"/>
                <w:color w:val="000000"/>
                <w:sz w:val="18"/>
                <w:szCs w:val="18"/>
                <w:lang w:val="en-US" w:eastAsia="zh-CN"/>
              </w:rPr>
              <w:t>(</w:t>
            </w:r>
            <w:r>
              <w:rPr>
                <w:rFonts w:hint="eastAsia" w:ascii="宋体" w:hAnsi="宋体" w:cs="宋体"/>
                <w:color w:val="000000"/>
                <w:sz w:val="18"/>
                <w:szCs w:val="18"/>
                <w:lang w:eastAsia="zh-CN"/>
              </w:rPr>
              <w:t>综合</w:t>
            </w:r>
          </w:p>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评级</w:t>
            </w:r>
            <w:r>
              <w:rPr>
                <w:rFonts w:hint="eastAsia" w:ascii="宋体" w:hAnsi="宋体" w:cs="宋体"/>
                <w:color w:val="000000"/>
                <w:sz w:val="18"/>
                <w:szCs w:val="18"/>
                <w:lang w:val="en-US" w:eastAsia="zh-CN"/>
              </w:rPr>
              <w:t>)</w:t>
            </w: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矿种2</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59"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3"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矿种3</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59"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3"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Arial" w:hAnsi="Arial" w:cs="Arial"/>
                <w:color w:val="auto"/>
                <w:kern w:val="0"/>
                <w:sz w:val="18"/>
                <w:szCs w:val="18"/>
                <w:vertAlign w:val="baseline"/>
                <w:lang w:val="en-US" w:eastAsia="zh-CN" w:bidi="ar-SA"/>
              </w:rPr>
              <w:t>…</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59"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3"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restart"/>
            <w:noWrap w:val="0"/>
            <w:vAlign w:val="center"/>
          </w:tcPr>
          <w:p>
            <w:pPr>
              <w:pStyle w:val="247"/>
              <w:widowControl/>
              <w:numPr>
                <w:ilvl w:val="0"/>
                <w:numId w:val="0"/>
              </w:numPr>
              <w:autoSpaceDE w:val="0"/>
              <w:autoSpaceDN w:val="0"/>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矿产资源开发利用</w:t>
            </w:r>
          </w:p>
        </w:tc>
        <w:tc>
          <w:tcPr>
            <w:tcW w:w="874" w:type="dxa"/>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年开采量</w:t>
            </w: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矿种1</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pStyle w:val="247"/>
              <w:widowControl/>
              <w:numPr>
                <w:ilvl w:val="0"/>
                <w:numId w:val="0"/>
              </w:numPr>
              <w:autoSpaceDE w:val="0"/>
              <w:autoSpaceDN w:val="0"/>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矿种2</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pStyle w:val="247"/>
              <w:widowControl/>
              <w:numPr>
                <w:ilvl w:val="0"/>
                <w:numId w:val="0"/>
              </w:numPr>
              <w:autoSpaceDE w:val="0"/>
              <w:autoSpaceDN w:val="0"/>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矿种3</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pStyle w:val="247"/>
              <w:widowControl/>
              <w:numPr>
                <w:ilvl w:val="0"/>
                <w:numId w:val="0"/>
              </w:numPr>
              <w:autoSpaceDE w:val="0"/>
              <w:autoSpaceDN w:val="0"/>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p>
        </w:tc>
        <w:tc>
          <w:tcPr>
            <w:tcW w:w="874"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p>
        </w:tc>
        <w:tc>
          <w:tcPr>
            <w:tcW w:w="875" w:type="dxa"/>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Arial" w:hAnsi="Arial" w:cs="Arial"/>
                <w:color w:val="auto"/>
                <w:kern w:val="0"/>
                <w:sz w:val="18"/>
                <w:szCs w:val="18"/>
                <w:vertAlign w:val="baseline"/>
                <w:lang w:val="en-US" w:eastAsia="zh-CN" w:bidi="ar-SA"/>
              </w:rPr>
              <w:t>…</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default" w:ascii="Times New Roman" w:hAnsi="Times New Roman" w:cs="Times New Roman"/>
                <w:color w:val="auto"/>
                <w:kern w:val="0"/>
                <w:sz w:val="18"/>
                <w:szCs w:val="18"/>
                <w:vertAlign w:val="baseline"/>
                <w:lang w:val="en-US" w:eastAsia="zh-CN" w:bidi="ar-SA"/>
              </w:rPr>
              <w:t>结构与效率</w:t>
            </w: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固体矿产矿山总数</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大中型矿山数量占比</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default" w:ascii="Times New Roman" w:hAnsi="Times New Roman" w:cs="Times New Roman"/>
                <w:color w:val="auto"/>
                <w:kern w:val="0"/>
                <w:sz w:val="18"/>
                <w:szCs w:val="18"/>
                <w:vertAlign w:val="baseline"/>
                <w:lang w:val="en-US" w:eastAsia="zh-CN" w:bidi="ar-SA"/>
              </w:rPr>
            </w:pP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固体矿产小型矿山数量减少比例</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hAnsi="Times New Roman" w:eastAsia="宋体" w:cs="Times New Roman"/>
                <w:color w:val="auto"/>
                <w:kern w:val="0"/>
                <w:sz w:val="18"/>
                <w:szCs w:val="18"/>
                <w:vertAlign w:val="baseline"/>
                <w:lang w:val="en-US" w:eastAsia="zh-CN" w:bidi="ar-SA"/>
              </w:rPr>
            </w:pPr>
            <w:r>
              <w:rPr>
                <w:rFonts w:hint="default" w:ascii="Times New Roman" w:hAnsi="Times New Roman" w:cs="Times New Roman"/>
                <w:color w:val="auto"/>
                <w:kern w:val="0"/>
                <w:sz w:val="18"/>
                <w:szCs w:val="18"/>
                <w:vertAlign w:val="baseline"/>
                <w:lang w:val="en-US" w:eastAsia="zh-CN" w:bidi="ar-SA"/>
              </w:rPr>
              <w:t>重要矿种“三率”水平</w:t>
            </w:r>
            <w:r>
              <w:rPr>
                <w:rFonts w:hint="eastAsia" w:ascii="Times New Roman" w:cs="Times New Roman"/>
                <w:color w:val="auto"/>
                <w:kern w:val="0"/>
                <w:sz w:val="18"/>
                <w:szCs w:val="18"/>
                <w:vertAlign w:val="baseline"/>
                <w:lang w:val="en-US" w:eastAsia="zh-CN" w:bidi="ar-SA"/>
              </w:rPr>
              <w:t>提高比例</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restart"/>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矿业绿色发展</w:t>
            </w: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cs="Times New Roman"/>
                <w:color w:val="auto"/>
                <w:kern w:val="0"/>
                <w:sz w:val="18"/>
                <w:szCs w:val="18"/>
                <w:vertAlign w:val="baseline"/>
                <w:lang w:val="en-US" w:eastAsia="zh-CN" w:bidi="ar-SA"/>
              </w:rPr>
              <w:t>绿色矿山建设率</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1518" w:type="dxa"/>
            <w:vMerge w:val="continue"/>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cs="Times New Roman"/>
                <w:color w:val="auto"/>
                <w:kern w:val="0"/>
                <w:sz w:val="18"/>
                <w:szCs w:val="18"/>
                <w:vertAlign w:val="baseline"/>
                <w:lang w:val="en-US" w:eastAsia="zh-CN" w:bidi="ar-SA"/>
              </w:rPr>
            </w:pPr>
          </w:p>
        </w:tc>
        <w:tc>
          <w:tcPr>
            <w:tcW w:w="1749" w:type="dxa"/>
            <w:gridSpan w:val="2"/>
            <w:noWrap w:val="0"/>
            <w:vAlign w:val="center"/>
          </w:tcPr>
          <w:p>
            <w:pPr>
              <w:pStyle w:val="247"/>
              <w:keepNext w:val="0"/>
              <w:keepLines w:val="0"/>
              <w:pageBreakBefore w:val="0"/>
              <w:widowControl/>
              <w:numPr>
                <w:ilvl w:val="0"/>
                <w:numId w:val="0"/>
              </w:numPr>
              <w:kinsoku/>
              <w:wordWrap/>
              <w:overflowPunct/>
              <w:topLinePunct w:val="0"/>
              <w:autoSpaceDE w:val="0"/>
              <w:autoSpaceDN w:val="0"/>
              <w:bidi w:val="0"/>
              <w:adjustRightInd/>
              <w:snapToGrid/>
              <w:ind w:left="0" w:leftChars="0" w:firstLine="0" w:firstLineChars="0"/>
              <w:jc w:val="center"/>
              <w:textAlignment w:val="auto"/>
              <w:outlineLvl w:val="9"/>
              <w:rPr>
                <w:rFonts w:hint="eastAsia" w:ascii="Times New Roman" w:cs="Times New Roman"/>
                <w:color w:val="auto"/>
                <w:kern w:val="0"/>
                <w:sz w:val="18"/>
                <w:szCs w:val="18"/>
                <w:vertAlign w:val="baseline"/>
                <w:lang w:val="en-US" w:eastAsia="zh-CN" w:bidi="ar-SA"/>
              </w:rPr>
            </w:pPr>
            <w:r>
              <w:rPr>
                <w:rFonts w:hint="eastAsia" w:ascii="宋体" w:hAnsi="宋体" w:eastAsia="宋体" w:cs="宋体"/>
                <w:color w:val="000000"/>
                <w:sz w:val="18"/>
                <w:szCs w:val="18"/>
              </w:rPr>
              <w:t>……</w:t>
            </w: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2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300"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402" w:type="dxa"/>
            <w:gridSpan w:val="2"/>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75" w:type="dxa"/>
            <w:noWrap w:val="0"/>
            <w:vAlign w:val="center"/>
          </w:tcPr>
          <w:p>
            <w:pPr>
              <w:spacing w:before="107" w:line="280" w:lineRule="exact"/>
              <w:jc w:val="center"/>
              <w:outlineLvl w:val="9"/>
              <w:rPr>
                <w:rFonts w:hint="eastAsia" w:ascii="宋体" w:hAnsi="宋体" w:eastAsia="宋体" w:cs="宋体"/>
                <w:color w:val="000000"/>
                <w:sz w:val="18"/>
                <w:szCs w:val="18"/>
              </w:rPr>
            </w:pPr>
          </w:p>
        </w:tc>
      </w:tr>
    </w:tbl>
    <w:p>
      <w:pPr>
        <w:pStyle w:val="247"/>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after="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能源资源基地建设情况表填写内容和要求见表B.2。</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附表B.2  能源资源基地建设情况表</w:t>
      </w:r>
    </w:p>
    <w:tbl>
      <w:tblPr>
        <w:tblStyle w:val="2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0"/>
        <w:gridCol w:w="985"/>
        <w:gridCol w:w="385"/>
        <w:gridCol w:w="552"/>
        <w:gridCol w:w="421"/>
        <w:gridCol w:w="362"/>
        <w:gridCol w:w="483"/>
        <w:gridCol w:w="1155"/>
        <w:gridCol w:w="345"/>
        <w:gridCol w:w="803"/>
        <w:gridCol w:w="672"/>
        <w:gridCol w:w="1008"/>
        <w:gridCol w:w="745"/>
        <w:gridCol w:w="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70"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基地</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名称</w:t>
            </w:r>
          </w:p>
        </w:tc>
        <w:tc>
          <w:tcPr>
            <w:tcW w:w="985"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w:t>
            </w:r>
          </w:p>
        </w:tc>
        <w:tc>
          <w:tcPr>
            <w:tcW w:w="385"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所在行政区</w:t>
            </w:r>
          </w:p>
        </w:tc>
        <w:tc>
          <w:tcPr>
            <w:tcW w:w="552"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面积</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（平方</w:t>
            </w:r>
            <w:r>
              <w:rPr>
                <w:rFonts w:hint="eastAsia" w:ascii="宋体" w:hAnsi="宋体" w:cs="宋体"/>
                <w:b/>
                <w:bCs/>
                <w:color w:val="000000"/>
                <w:sz w:val="18"/>
                <w:szCs w:val="18"/>
                <w:lang w:eastAsia="zh-CN"/>
              </w:rPr>
              <w:t>千米</w:t>
            </w:r>
            <w:r>
              <w:rPr>
                <w:rFonts w:hint="eastAsia" w:ascii="宋体" w:hAnsi="宋体" w:eastAsia="宋体" w:cs="宋体"/>
                <w:b/>
                <w:bCs/>
                <w:color w:val="000000"/>
                <w:sz w:val="18"/>
                <w:szCs w:val="18"/>
              </w:rPr>
              <w:t>）</w:t>
            </w:r>
          </w:p>
        </w:tc>
        <w:tc>
          <w:tcPr>
            <w:tcW w:w="421"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主要矿</w:t>
            </w:r>
            <w:r>
              <w:rPr>
                <w:rFonts w:hint="eastAsia" w:ascii="宋体" w:hAnsi="宋体" w:cs="宋体"/>
                <w:b/>
                <w:bCs/>
                <w:color w:val="000000"/>
                <w:sz w:val="18"/>
                <w:szCs w:val="18"/>
                <w:lang w:eastAsia="zh-CN"/>
              </w:rPr>
              <w:t>种</w:t>
            </w:r>
          </w:p>
        </w:tc>
        <w:tc>
          <w:tcPr>
            <w:tcW w:w="845" w:type="dxa"/>
            <w:gridSpan w:val="2"/>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探矿权数量（个）</w:t>
            </w:r>
          </w:p>
        </w:tc>
        <w:tc>
          <w:tcPr>
            <w:tcW w:w="1155" w:type="dxa"/>
            <w:vMerge w:val="restart"/>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新增资源量</w:t>
            </w:r>
          </w:p>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（规划期累计）</w:t>
            </w:r>
          </w:p>
        </w:tc>
        <w:tc>
          <w:tcPr>
            <w:tcW w:w="1148" w:type="dxa"/>
            <w:gridSpan w:val="2"/>
            <w:tcBorders>
              <w:bottom w:val="nil"/>
            </w:tcBorders>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矿山数量</w:t>
            </w:r>
            <w:r>
              <w:rPr>
                <w:rFonts w:hint="eastAsia" w:ascii="宋体" w:hAnsi="宋体" w:cs="宋体"/>
                <w:b/>
                <w:bCs/>
                <w:color w:val="000000"/>
                <w:sz w:val="18"/>
                <w:szCs w:val="18"/>
                <w:lang w:eastAsia="zh-CN"/>
              </w:rPr>
              <w:t>（个）</w:t>
            </w:r>
          </w:p>
        </w:tc>
        <w:tc>
          <w:tcPr>
            <w:tcW w:w="1680" w:type="dxa"/>
            <w:gridSpan w:val="2"/>
            <w:tcBorders>
              <w:bottom w:val="nil"/>
            </w:tcBorders>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主要矿产品产能／产量</w:t>
            </w:r>
            <w:r>
              <w:rPr>
                <w:rFonts w:hint="eastAsia" w:ascii="宋体" w:hAnsi="宋体" w:cs="宋体"/>
                <w:b/>
                <w:bCs/>
                <w:color w:val="000000"/>
                <w:sz w:val="18"/>
                <w:szCs w:val="18"/>
                <w:lang w:eastAsia="zh-CN"/>
              </w:rPr>
              <w:t>（万吨）</w:t>
            </w:r>
          </w:p>
        </w:tc>
        <w:tc>
          <w:tcPr>
            <w:tcW w:w="745"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矿业产值</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（万元）</w:t>
            </w:r>
          </w:p>
        </w:tc>
        <w:tc>
          <w:tcPr>
            <w:tcW w:w="296" w:type="dxa"/>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2" w:hRule="atLeast"/>
          <w:jc w:val="center"/>
        </w:trPr>
        <w:tc>
          <w:tcPr>
            <w:tcW w:w="470"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8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8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其中：新设</w:t>
            </w:r>
          </w:p>
        </w:tc>
        <w:tc>
          <w:tcPr>
            <w:tcW w:w="1155" w:type="dxa"/>
            <w:vMerge w:val="continue"/>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345" w:type="dxa"/>
            <w:tcBorders>
              <w:top w:val="nil"/>
            </w:tcBorders>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803" w:type="dxa"/>
            <w:tcBorders>
              <w:top w:val="single" w:color="auto" w:sz="4" w:space="0"/>
            </w:tcBorders>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大中型</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矿山数量</w:t>
            </w:r>
          </w:p>
        </w:tc>
        <w:tc>
          <w:tcPr>
            <w:tcW w:w="672" w:type="dxa"/>
            <w:tcBorders>
              <w:top w:val="nil"/>
            </w:tcBorders>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1008" w:type="dxa"/>
            <w:tcBorders>
              <w:top w:val="single" w:color="auto" w:sz="4" w:space="0"/>
            </w:tcBorders>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占本省（区、市</w:t>
            </w:r>
            <w:r>
              <w:rPr>
                <w:rFonts w:hint="eastAsia" w:ascii="宋体" w:hAnsi="宋体" w:cs="宋体"/>
                <w:b/>
                <w:bCs/>
                <w:color w:val="000000"/>
                <w:sz w:val="18"/>
                <w:szCs w:val="18"/>
                <w:lang w:eastAsia="zh-CN"/>
              </w:rPr>
              <w:t>、县</w:t>
            </w:r>
            <w:r>
              <w:rPr>
                <w:rFonts w:hint="eastAsia" w:ascii="宋体" w:hAnsi="宋体" w:eastAsia="宋体" w:cs="宋体"/>
                <w:b/>
                <w:bCs/>
                <w:color w:val="000000"/>
                <w:sz w:val="18"/>
                <w:szCs w:val="18"/>
              </w:rPr>
              <w:t>）总产能／产量的比例</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w:t>
            </w:r>
            <w:r>
              <w:rPr>
                <w:rFonts w:hint="eastAsia" w:ascii="宋体" w:hAnsi="宋体" w:cs="宋体"/>
                <w:b/>
                <w:bCs/>
                <w:color w:val="000000"/>
                <w:sz w:val="18"/>
                <w:szCs w:val="18"/>
                <w:lang w:eastAsia="zh-CN"/>
              </w:rPr>
              <w:t>）</w:t>
            </w:r>
          </w:p>
        </w:tc>
        <w:tc>
          <w:tcPr>
            <w:tcW w:w="745"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 w:hRule="atLeast"/>
          <w:jc w:val="center"/>
        </w:trPr>
        <w:tc>
          <w:tcPr>
            <w:tcW w:w="470"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基地1</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lang w:eastAsia="zh-CN"/>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6" w:hRule="atLeast"/>
          <w:jc w:val="center"/>
        </w:trPr>
        <w:tc>
          <w:tcPr>
            <w:tcW w:w="470"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cs="宋体"/>
                <w:color w:val="000000"/>
                <w:sz w:val="18"/>
                <w:szCs w:val="18"/>
                <w:lang w:val="en-US" w:eastAsia="zh-CN"/>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4" w:hRule="atLeast"/>
          <w:jc w:val="center"/>
        </w:trPr>
        <w:tc>
          <w:tcPr>
            <w:tcW w:w="470"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基地2</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color w:val="000000"/>
                <w:sz w:val="18"/>
                <w:szCs w:val="18"/>
                <w:lang w:eastAsia="zh-CN"/>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lang w:eastAsia="zh-CN"/>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atLeast"/>
          <w:jc w:val="center"/>
        </w:trPr>
        <w:tc>
          <w:tcPr>
            <w:tcW w:w="470"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cs="宋体"/>
                <w:color w:val="000000"/>
                <w:sz w:val="18"/>
                <w:szCs w:val="18"/>
                <w:lang w:val="en-US" w:eastAsia="zh-CN"/>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 w:hRule="atLeast"/>
          <w:jc w:val="center"/>
        </w:trPr>
        <w:tc>
          <w:tcPr>
            <w:tcW w:w="470" w:type="dxa"/>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color w:val="000000"/>
                <w:sz w:val="18"/>
                <w:szCs w:val="18"/>
                <w:lang w:eastAsia="zh-CN"/>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lang w:eastAsia="zh-CN"/>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470" w:type="dxa"/>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p>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38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5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21"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5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03"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72"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008"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45" w:type="dxa"/>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6" w:type="dxa"/>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3" w:hRule="atLeast"/>
          <w:jc w:val="center"/>
        </w:trPr>
        <w:tc>
          <w:tcPr>
            <w:tcW w:w="8682" w:type="dxa"/>
            <w:gridSpan w:val="14"/>
            <w:noWrap w:val="0"/>
            <w:vAlign w:val="center"/>
          </w:tcPr>
          <w:p>
            <w:pPr>
              <w:pStyle w:val="183"/>
              <w:keepNext w:val="0"/>
              <w:keepLines w:val="0"/>
              <w:pageBreakBefore w:val="0"/>
              <w:widowControl w:val="0"/>
              <w:numPr>
                <w:ilvl w:val="0"/>
                <w:numId w:val="33"/>
              </w:numPr>
              <w:kinsoku/>
              <w:wordWrap/>
              <w:overflowPunct/>
              <w:topLinePunct w:val="0"/>
              <w:autoSpaceDE w:val="0"/>
              <w:autoSpaceDN w:val="0"/>
              <w:bidi w:val="0"/>
              <w:adjustRightInd/>
              <w:snapToGrid/>
              <w:ind w:left="811" w:hanging="448"/>
              <w:textAlignment w:val="auto"/>
              <w:rPr>
                <w:rFonts w:hint="eastAsia" w:ascii="Times New Roman" w:hAnsi="Times New Roman" w:cs="Times New Roman"/>
                <w:lang w:eastAsia="zh-CN"/>
              </w:rPr>
            </w:pPr>
            <w:r>
              <w:rPr>
                <w:rFonts w:hint="eastAsia" w:ascii="Times New Roman" w:hAnsi="Times New Roman" w:cs="Times New Roman"/>
                <w:lang w:eastAsia="zh-CN"/>
              </w:rPr>
              <w:t>填写规划区内能源资源基地建设情况。</w:t>
            </w:r>
          </w:p>
          <w:p>
            <w:pPr>
              <w:pStyle w:val="183"/>
              <w:keepNext w:val="0"/>
              <w:keepLines w:val="0"/>
              <w:pageBreakBefore w:val="0"/>
              <w:widowControl w:val="0"/>
              <w:numPr>
                <w:ilvl w:val="0"/>
                <w:numId w:val="33"/>
              </w:numPr>
              <w:kinsoku/>
              <w:wordWrap/>
              <w:overflowPunct/>
              <w:topLinePunct w:val="0"/>
              <w:autoSpaceDE w:val="0"/>
              <w:autoSpaceDN w:val="0"/>
              <w:bidi w:val="0"/>
              <w:adjustRightInd/>
              <w:snapToGrid/>
              <w:ind w:left="811" w:hanging="448"/>
              <w:textAlignment w:val="auto"/>
              <w:rPr>
                <w:rFonts w:hint="eastAsia" w:ascii="Times New Roman" w:hAnsi="Times New Roman" w:cs="Times New Roman"/>
                <w:lang w:eastAsia="zh-CN"/>
              </w:rPr>
            </w:pPr>
            <w:r>
              <w:rPr>
                <w:rFonts w:hint="eastAsia" w:ascii="Times New Roman" w:hAnsi="Times New Roman" w:cs="Times New Roman"/>
                <w:lang w:eastAsia="zh-CN"/>
              </w:rPr>
              <w:t>不涉及能源资源安全保障布局的专项规划可不填此表。</w:t>
            </w:r>
          </w:p>
          <w:p>
            <w:pPr>
              <w:pStyle w:val="183"/>
              <w:keepNext w:val="0"/>
              <w:keepLines w:val="0"/>
              <w:pageBreakBefore w:val="0"/>
              <w:widowControl w:val="0"/>
              <w:numPr>
                <w:ilvl w:val="0"/>
                <w:numId w:val="33"/>
              </w:numPr>
              <w:kinsoku/>
              <w:wordWrap/>
              <w:overflowPunct/>
              <w:topLinePunct w:val="0"/>
              <w:autoSpaceDE w:val="0"/>
              <w:autoSpaceDN w:val="0"/>
              <w:bidi w:val="0"/>
              <w:adjustRightInd/>
              <w:snapToGrid/>
              <w:ind w:left="811" w:hanging="448"/>
              <w:textAlignment w:val="auto"/>
              <w:rPr>
                <w:rFonts w:hint="default" w:ascii="宋体" w:hAnsi="宋体" w:cs="宋体"/>
                <w:color w:val="000000"/>
                <w:sz w:val="18"/>
                <w:szCs w:val="18"/>
                <w:lang w:val="en-US" w:eastAsia="zh-CN"/>
              </w:rPr>
            </w:pPr>
            <w:r>
              <w:rPr>
                <w:rFonts w:hint="eastAsia" w:ascii="Times New Roman" w:hAnsi="Times New Roman" w:cs="Times New Roman"/>
                <w:lang w:val="en-US" w:eastAsia="zh-CN"/>
              </w:rPr>
              <w:t>所在行政区：省级规划实施评估应填涉及的地级市，市级规划应填涉及的县（区），县级规划可不填此项。</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bCs/>
          <w:color w:val="auto"/>
          <w:kern w:val="0"/>
          <w:sz w:val="21"/>
          <w:szCs w:val="22"/>
          <w:lang w:val="en-US" w:eastAsia="zh-CN" w:bidi="ar-SA"/>
        </w:rPr>
        <w:sectPr>
          <w:footerReference r:id="rId21" w:type="default"/>
          <w:footerReference r:id="rId22"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7"/>
        <w:keepNext w:val="0"/>
        <w:keepLines w:val="0"/>
        <w:pageBreakBefore w:val="0"/>
        <w:widowControl/>
        <w:kinsoku/>
        <w:wordWrap/>
        <w:overflowPunct/>
        <w:topLinePunct w:val="0"/>
        <w:autoSpaceDE w:val="0"/>
        <w:autoSpaceDN w:val="0"/>
        <w:bidi w:val="0"/>
        <w:adjustRightInd/>
        <w:snapToGrid/>
        <w:spacing w:before="0" w:beforeLines="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国家规划矿区建设情况表填写内容和要求见表B.3。</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附表B.3  国家规划矿区建设情况表</w:t>
      </w:r>
    </w:p>
    <w:tbl>
      <w:tblPr>
        <w:tblStyle w:val="28"/>
        <w:tblW w:w="8857"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 w:type="dxa"/>
          <w:bottom w:w="0" w:type="dxa"/>
          <w:right w:w="10" w:type="dxa"/>
        </w:tblCellMar>
      </w:tblPr>
      <w:tblGrid>
        <w:gridCol w:w="517"/>
        <w:gridCol w:w="965"/>
        <w:gridCol w:w="282"/>
        <w:gridCol w:w="820"/>
        <w:gridCol w:w="375"/>
        <w:gridCol w:w="388"/>
        <w:gridCol w:w="499"/>
        <w:gridCol w:w="387"/>
        <w:gridCol w:w="874"/>
        <w:gridCol w:w="1178"/>
        <w:gridCol w:w="561"/>
        <w:gridCol w:w="945"/>
        <w:gridCol w:w="742"/>
        <w:gridCol w:w="324"/>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688" w:hRule="atLeast"/>
          <w:jc w:val="center"/>
        </w:trPr>
        <w:tc>
          <w:tcPr>
            <w:tcW w:w="517"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矿区</w:t>
            </w:r>
          </w:p>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名称</w:t>
            </w:r>
          </w:p>
        </w:tc>
        <w:tc>
          <w:tcPr>
            <w:tcW w:w="965"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w:t>
            </w:r>
          </w:p>
        </w:tc>
        <w:tc>
          <w:tcPr>
            <w:tcW w:w="282"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所在</w:t>
            </w:r>
          </w:p>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行政区</w:t>
            </w:r>
          </w:p>
        </w:tc>
        <w:tc>
          <w:tcPr>
            <w:tcW w:w="820"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面积</w:t>
            </w:r>
          </w:p>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（平方</w:t>
            </w:r>
            <w:r>
              <w:rPr>
                <w:rFonts w:hint="eastAsia" w:ascii="宋体" w:hAnsi="宋体" w:cs="宋体"/>
                <w:b/>
                <w:bCs/>
                <w:color w:val="000000"/>
                <w:sz w:val="18"/>
                <w:szCs w:val="18"/>
                <w:lang w:eastAsia="zh-CN"/>
              </w:rPr>
              <w:t>千米</w:t>
            </w:r>
            <w:r>
              <w:rPr>
                <w:rFonts w:hint="eastAsia" w:ascii="宋体" w:hAnsi="宋体" w:eastAsia="宋体" w:cs="宋体"/>
                <w:b/>
                <w:bCs/>
                <w:color w:val="000000"/>
                <w:sz w:val="18"/>
                <w:szCs w:val="18"/>
              </w:rPr>
              <w:t>）</w:t>
            </w:r>
          </w:p>
        </w:tc>
        <w:tc>
          <w:tcPr>
            <w:tcW w:w="375"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主要矿</w:t>
            </w:r>
            <w:r>
              <w:rPr>
                <w:rFonts w:hint="eastAsia" w:ascii="宋体" w:hAnsi="宋体" w:cs="宋体"/>
                <w:b/>
                <w:bCs/>
                <w:color w:val="000000"/>
                <w:sz w:val="18"/>
                <w:szCs w:val="18"/>
                <w:lang w:eastAsia="zh-CN"/>
              </w:rPr>
              <w:t>种</w:t>
            </w:r>
          </w:p>
        </w:tc>
        <w:tc>
          <w:tcPr>
            <w:tcW w:w="887" w:type="dxa"/>
            <w:gridSpan w:val="2"/>
            <w:noWrap w:val="0"/>
            <w:vAlign w:val="center"/>
          </w:tcPr>
          <w:p>
            <w:pPr>
              <w:spacing w:before="107" w:line="280" w:lineRule="exact"/>
              <w:jc w:val="center"/>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探矿权数量（个）</w:t>
            </w:r>
          </w:p>
        </w:tc>
        <w:tc>
          <w:tcPr>
            <w:tcW w:w="1261" w:type="dxa"/>
            <w:gridSpan w:val="2"/>
            <w:tcBorders>
              <w:bottom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矿山数量</w:t>
            </w:r>
          </w:p>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（个）</w:t>
            </w:r>
          </w:p>
        </w:tc>
        <w:tc>
          <w:tcPr>
            <w:tcW w:w="1178" w:type="dxa"/>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cs="宋体"/>
                <w:b/>
                <w:bCs/>
                <w:color w:val="000000"/>
                <w:sz w:val="18"/>
                <w:szCs w:val="18"/>
                <w:lang w:eastAsia="zh-CN"/>
              </w:rPr>
              <w:t>新增</w:t>
            </w:r>
            <w:r>
              <w:rPr>
                <w:rFonts w:hint="eastAsia" w:ascii="宋体" w:hAnsi="宋体" w:eastAsia="宋体" w:cs="宋体"/>
                <w:b/>
                <w:bCs/>
                <w:color w:val="000000"/>
                <w:sz w:val="18"/>
                <w:szCs w:val="18"/>
              </w:rPr>
              <w:t>资源储量</w:t>
            </w:r>
          </w:p>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（规划期累计）</w:t>
            </w:r>
          </w:p>
        </w:tc>
        <w:tc>
          <w:tcPr>
            <w:tcW w:w="1506" w:type="dxa"/>
            <w:gridSpan w:val="2"/>
            <w:tcBorders>
              <w:bottom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主要矿产品</w:t>
            </w:r>
          </w:p>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产能／产量</w:t>
            </w:r>
            <w:r>
              <w:rPr>
                <w:rFonts w:hint="eastAsia" w:ascii="宋体" w:hAnsi="宋体" w:cs="宋体"/>
                <w:b/>
                <w:bCs/>
                <w:color w:val="000000"/>
                <w:sz w:val="18"/>
                <w:szCs w:val="18"/>
                <w:lang w:eastAsia="zh-CN"/>
              </w:rPr>
              <w:t>（万吨）</w:t>
            </w:r>
          </w:p>
        </w:tc>
        <w:tc>
          <w:tcPr>
            <w:tcW w:w="742"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矿业产值</w:t>
            </w:r>
          </w:p>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（万元）</w:t>
            </w:r>
          </w:p>
        </w:tc>
        <w:tc>
          <w:tcPr>
            <w:tcW w:w="324" w:type="dxa"/>
            <w:vMerge w:val="restart"/>
            <w:tcBorders>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936" w:hRule="atLeast"/>
          <w:jc w:val="center"/>
        </w:trPr>
        <w:tc>
          <w:tcPr>
            <w:tcW w:w="517"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965"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282"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820"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375"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388" w:type="dxa"/>
            <w:tcBorders>
              <w:bottom w:val="single" w:color="000000" w:sz="4" w:space="0"/>
            </w:tcBorders>
            <w:noWrap w:val="0"/>
            <w:vAlign w:val="top"/>
          </w:tcPr>
          <w:p>
            <w:pPr>
              <w:spacing w:before="107" w:line="280" w:lineRule="exact"/>
              <w:jc w:val="center"/>
              <w:rPr>
                <w:rFonts w:hint="eastAsia" w:ascii="宋体" w:hAnsi="宋体" w:eastAsia="宋体" w:cs="宋体"/>
                <w:color w:val="000000"/>
                <w:sz w:val="18"/>
                <w:szCs w:val="18"/>
              </w:rPr>
            </w:pPr>
          </w:p>
        </w:tc>
        <w:tc>
          <w:tcPr>
            <w:tcW w:w="499" w:type="dxa"/>
            <w:tcBorders>
              <w:bottom w:val="single" w:color="000000" w:sz="4" w:space="0"/>
            </w:tcBorders>
            <w:noWrap w:val="0"/>
            <w:vAlign w:val="top"/>
          </w:tcPr>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其中：新设</w:t>
            </w:r>
          </w:p>
        </w:tc>
        <w:tc>
          <w:tcPr>
            <w:tcW w:w="387" w:type="dxa"/>
            <w:tcBorders>
              <w:top w:val="nil"/>
              <w:bottom w:val="single" w:color="000000" w:sz="4" w:space="0"/>
            </w:tcBorders>
            <w:noWrap w:val="0"/>
            <w:vAlign w:val="top"/>
          </w:tcPr>
          <w:p>
            <w:pPr>
              <w:spacing w:before="107" w:line="280" w:lineRule="exact"/>
              <w:jc w:val="center"/>
              <w:rPr>
                <w:rFonts w:hint="eastAsia" w:ascii="宋体" w:hAnsi="宋体" w:eastAsia="宋体" w:cs="宋体"/>
                <w:b/>
                <w:bCs/>
                <w:color w:val="000000"/>
                <w:sz w:val="18"/>
                <w:szCs w:val="18"/>
              </w:rPr>
            </w:pPr>
          </w:p>
        </w:tc>
        <w:tc>
          <w:tcPr>
            <w:tcW w:w="874" w:type="dxa"/>
            <w:tcBorders>
              <w:top w:val="single" w:color="000000" w:sz="4" w:space="0"/>
              <w:bottom w:val="single" w:color="000000" w:sz="4" w:space="0"/>
            </w:tcBorders>
            <w:noWrap w:val="0"/>
            <w:vAlign w:val="top"/>
          </w:tcPr>
          <w:p>
            <w:pPr>
              <w:spacing w:before="107" w:line="28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其中：大中型矿山数量</w:t>
            </w: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b/>
                <w:bCs/>
                <w:color w:val="000000"/>
                <w:sz w:val="18"/>
                <w:szCs w:val="18"/>
              </w:rPr>
            </w:pPr>
          </w:p>
        </w:tc>
        <w:tc>
          <w:tcPr>
            <w:tcW w:w="561" w:type="dxa"/>
            <w:tcBorders>
              <w:top w:val="nil"/>
              <w:bottom w:val="single" w:color="000000" w:sz="4" w:space="0"/>
            </w:tcBorders>
            <w:noWrap w:val="0"/>
            <w:vAlign w:val="top"/>
          </w:tcPr>
          <w:p>
            <w:pPr>
              <w:spacing w:before="107" w:line="280" w:lineRule="exact"/>
              <w:jc w:val="center"/>
              <w:rPr>
                <w:rFonts w:hint="eastAsia" w:ascii="宋体" w:hAnsi="宋体" w:eastAsia="宋体" w:cs="宋体"/>
                <w:b/>
                <w:bCs/>
                <w:color w:val="000000"/>
                <w:sz w:val="18"/>
                <w:szCs w:val="18"/>
              </w:rPr>
            </w:pPr>
          </w:p>
        </w:tc>
        <w:tc>
          <w:tcPr>
            <w:tcW w:w="945" w:type="dxa"/>
            <w:tcBorders>
              <w:top w:val="single" w:color="000000" w:sz="4" w:space="0"/>
              <w:bottom w:val="single" w:color="000000" w:sz="4" w:space="0"/>
            </w:tcBorders>
            <w:noWrap w:val="0"/>
            <w:vAlign w:val="top"/>
          </w:tcPr>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占本省（区、市</w:t>
            </w:r>
            <w:r>
              <w:rPr>
                <w:rFonts w:hint="eastAsia" w:ascii="宋体" w:hAnsi="宋体" w:cs="宋体"/>
                <w:b/>
                <w:bCs/>
                <w:color w:val="000000"/>
                <w:sz w:val="18"/>
                <w:szCs w:val="18"/>
                <w:lang w:eastAsia="zh-CN"/>
              </w:rPr>
              <w:t>、县</w:t>
            </w:r>
            <w:r>
              <w:rPr>
                <w:rFonts w:hint="eastAsia" w:ascii="宋体" w:hAnsi="宋体" w:eastAsia="宋体" w:cs="宋体"/>
                <w:b/>
                <w:bCs/>
                <w:color w:val="000000"/>
                <w:sz w:val="18"/>
                <w:szCs w:val="18"/>
              </w:rPr>
              <w:t>）总产能／产量的比例</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w:t>
            </w:r>
            <w:r>
              <w:rPr>
                <w:rFonts w:hint="eastAsia" w:ascii="宋体" w:hAnsi="宋体" w:cs="宋体"/>
                <w:b/>
                <w:bCs/>
                <w:color w:val="000000"/>
                <w:sz w:val="18"/>
                <w:szCs w:val="18"/>
                <w:lang w:eastAsia="zh-CN"/>
              </w:rPr>
              <w:t>）</w:t>
            </w:r>
          </w:p>
        </w:tc>
        <w:tc>
          <w:tcPr>
            <w:tcW w:w="742"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324"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455" w:hRule="atLeast"/>
          <w:jc w:val="center"/>
        </w:trPr>
        <w:tc>
          <w:tcPr>
            <w:tcW w:w="517" w:type="dxa"/>
            <w:vMerge w:val="restart"/>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p>
            <w:pPr>
              <w:spacing w:before="107"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矿区</w:t>
            </w:r>
          </w:p>
          <w:p>
            <w:pPr>
              <w:spacing w:before="107"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573" w:hRule="atLeast"/>
          <w:jc w:val="center"/>
        </w:trPr>
        <w:tc>
          <w:tcPr>
            <w:tcW w:w="517"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sz w:val="18"/>
                <w:szCs w:val="18"/>
                <w:lang w:val="en-US" w:eastAsia="zh-CN"/>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225" w:hRule="atLeast"/>
          <w:jc w:val="center"/>
        </w:trPr>
        <w:tc>
          <w:tcPr>
            <w:tcW w:w="517" w:type="dxa"/>
            <w:vMerge w:val="restart"/>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p>
            <w:pPr>
              <w:spacing w:before="107"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矿区</w:t>
            </w:r>
          </w:p>
          <w:p>
            <w:pPr>
              <w:spacing w:before="107"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（2020年）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624" w:hRule="atLeast"/>
          <w:jc w:val="center"/>
        </w:trPr>
        <w:tc>
          <w:tcPr>
            <w:tcW w:w="517"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sz w:val="18"/>
                <w:szCs w:val="18"/>
                <w:lang w:val="en-US" w:eastAsia="zh-CN"/>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252" w:hRule="atLeast"/>
          <w:jc w:val="center"/>
        </w:trPr>
        <w:tc>
          <w:tcPr>
            <w:tcW w:w="517" w:type="dxa"/>
            <w:vMerge w:val="restart"/>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555" w:hRule="atLeast"/>
          <w:jc w:val="center"/>
        </w:trPr>
        <w:tc>
          <w:tcPr>
            <w:tcW w:w="517" w:type="dxa"/>
            <w:vMerge w:val="continue"/>
            <w:tcBorders>
              <w:top w:val="single" w:color="000000" w:sz="4" w:space="0"/>
              <w:bottom w:val="single" w:color="000000" w:sz="4" w:space="0"/>
              <w:tl2br w:val="nil"/>
              <w:tr2bl w:val="nil"/>
            </w:tcBorders>
            <w:noWrap w:val="0"/>
            <w:vAlign w:val="top"/>
          </w:tcPr>
          <w:p>
            <w:pPr>
              <w:spacing w:before="107" w:line="280" w:lineRule="exact"/>
              <w:jc w:val="center"/>
              <w:rPr>
                <w:rFonts w:hint="eastAsia" w:ascii="宋体" w:hAnsi="宋体" w:eastAsia="宋体" w:cs="宋体"/>
                <w:color w:val="000000"/>
                <w:sz w:val="18"/>
                <w:szCs w:val="18"/>
              </w:rPr>
            </w:pPr>
          </w:p>
        </w:tc>
        <w:tc>
          <w:tcPr>
            <w:tcW w:w="965" w:type="dxa"/>
            <w:tcBorders>
              <w:top w:val="single" w:color="000000" w:sz="4" w:space="0"/>
              <w:bottom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000000"/>
                <w:sz w:val="18"/>
                <w:szCs w:val="18"/>
                <w:lang w:val="en-US" w:eastAsia="zh-CN"/>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终期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282"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820"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75"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8"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499" w:type="dxa"/>
            <w:tcBorders>
              <w:top w:val="single" w:color="000000" w:sz="4" w:space="0"/>
              <w:bottom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18"/>
                <w:szCs w:val="18"/>
              </w:rPr>
            </w:pPr>
          </w:p>
        </w:tc>
        <w:tc>
          <w:tcPr>
            <w:tcW w:w="387"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87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1178"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561"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945"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742"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c>
          <w:tcPr>
            <w:tcW w:w="324" w:type="dxa"/>
            <w:tcBorders>
              <w:top w:val="single" w:color="000000" w:sz="4" w:space="0"/>
              <w:bottom w:val="single" w:color="000000" w:sz="4" w:space="0"/>
              <w:tl2br w:val="nil"/>
              <w:tr2bl w:val="nil"/>
            </w:tcBorders>
            <w:noWrap w:val="0"/>
            <w:vAlign w:val="center"/>
          </w:tcPr>
          <w:p>
            <w:pPr>
              <w:spacing w:before="107" w:line="280" w:lineRule="exact"/>
              <w:jc w:val="center"/>
              <w:rPr>
                <w:rFonts w:hint="eastAsia" w:ascii="宋体" w:hAnsi="宋体" w:eastAsia="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 w:type="dxa"/>
            <w:bottom w:w="0" w:type="dxa"/>
            <w:right w:w="10" w:type="dxa"/>
          </w:tblCellMar>
        </w:tblPrEx>
        <w:trPr>
          <w:trHeight w:val="1162" w:hRule="atLeast"/>
          <w:jc w:val="center"/>
        </w:trPr>
        <w:tc>
          <w:tcPr>
            <w:tcW w:w="8857" w:type="dxa"/>
            <w:gridSpan w:val="14"/>
            <w:tcBorders>
              <w:top w:val="single" w:color="000000" w:sz="4" w:space="0"/>
              <w:tl2br w:val="nil"/>
              <w:tr2bl w:val="nil"/>
            </w:tcBorders>
            <w:noWrap w:val="0"/>
            <w:vAlign w:val="top"/>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Times New Roman" w:hAnsi="Times New Roman" w:cs="Times New Roman"/>
                <w:lang w:eastAsia="zh-CN"/>
              </w:rPr>
            </w:pPr>
            <w:bookmarkStart w:id="142" w:name="_Toc949"/>
            <w:r>
              <w:rPr>
                <w:rFonts w:hint="eastAsia" w:ascii="黑体" w:hAnsi="黑体" w:eastAsia="黑体" w:cs="黑体"/>
                <w:b w:val="0"/>
                <w:bCs w:val="0"/>
                <w:lang w:eastAsia="zh-CN"/>
              </w:rPr>
              <w:t>注</w:t>
            </w:r>
            <w:r>
              <w:rPr>
                <w:rFonts w:hint="eastAsia" w:ascii="黑体" w:hAnsi="黑体" w:eastAsia="黑体" w:cs="黑体"/>
                <w:b w:val="0"/>
                <w:bCs w:val="0"/>
                <w:lang w:val="en-US" w:eastAsia="zh-CN"/>
              </w:rPr>
              <w:t>1：</w:t>
            </w:r>
            <w:r>
              <w:rPr>
                <w:rFonts w:hint="eastAsia" w:ascii="Times New Roman" w:hAnsi="Times New Roman" w:cs="Times New Roman"/>
                <w:lang w:eastAsia="zh-CN"/>
              </w:rPr>
              <w:t>填写规划区内能源资源基地建设情况。</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Times New Roman" w:hAnsi="Times New Roman" w:cs="Times New Roman"/>
                <w:lang w:eastAsia="zh-CN"/>
              </w:rPr>
            </w:pPr>
            <w:r>
              <w:rPr>
                <w:rFonts w:hint="eastAsia" w:ascii="黑体" w:hAnsi="黑体" w:eastAsia="黑体" w:cs="黑体"/>
                <w:lang w:eastAsia="zh-CN"/>
              </w:rPr>
              <w:t>注</w:t>
            </w:r>
            <w:r>
              <w:rPr>
                <w:rFonts w:hint="eastAsia" w:ascii="黑体" w:hAnsi="黑体" w:eastAsia="黑体" w:cs="黑体"/>
                <w:lang w:val="en-US" w:eastAsia="zh-CN"/>
              </w:rPr>
              <w:t>2：</w:t>
            </w:r>
            <w:r>
              <w:rPr>
                <w:rFonts w:hint="eastAsia" w:ascii="Times New Roman" w:hAnsi="Times New Roman" w:cs="Times New Roman"/>
                <w:lang w:eastAsia="zh-CN"/>
              </w:rPr>
              <w:t>不涉及能源资源安全保障布局的专项规划可不填此表。</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901" w:leftChars="172" w:hanging="540" w:hangingChars="300"/>
              <w:textAlignment w:val="auto"/>
              <w:rPr>
                <w:rFonts w:hint="eastAsia" w:ascii="Times New Roman" w:hAnsi="Times New Roman" w:cs="Times New Roman"/>
                <w:lang w:val="en-US" w:eastAsia="zh-CN"/>
              </w:rPr>
            </w:pPr>
            <w:r>
              <w:rPr>
                <w:rFonts w:hint="eastAsia" w:ascii="黑体" w:hAnsi="黑体" w:eastAsia="黑体" w:cs="黑体"/>
                <w:lang w:val="en-US" w:eastAsia="zh-CN"/>
              </w:rPr>
              <w:t>注3：</w:t>
            </w:r>
            <w:r>
              <w:rPr>
                <w:rFonts w:hint="eastAsia" w:ascii="Times New Roman" w:hAnsi="Times New Roman" w:cs="Times New Roman"/>
                <w:lang w:val="en-US" w:eastAsia="zh-CN"/>
              </w:rPr>
              <w:t>所在行政区：省级规划实施评估应填涉及的地级市，市级规划应填涉及的县（区），县级规划可不填</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firstLine="448"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此项。</w:t>
            </w:r>
          </w:p>
        </w:tc>
      </w:tr>
    </w:tbl>
    <w:p>
      <w:pPr>
        <w:pStyle w:val="247"/>
        <w:keepNext w:val="0"/>
        <w:keepLines w:val="0"/>
        <w:pageBreakBefore w:val="0"/>
        <w:widowControl/>
        <w:kinsoku/>
        <w:wordWrap/>
        <w:overflowPunct/>
        <w:topLinePunct w:val="0"/>
        <w:autoSpaceDE w:val="0"/>
        <w:autoSpaceDN w:val="0"/>
        <w:bidi w:val="0"/>
        <w:adjustRightInd/>
        <w:snapToGrid/>
        <w:spacing w:before="0"/>
        <w:ind w:left="0" w:leftChars="0" w:firstLine="0" w:firstLineChars="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default" w:ascii="Times New Roman" w:hAnsi="Times New Roman" w:eastAsia="黑体" w:cs="Times New Roman"/>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重点勘查区实施情况表填写内容和要求见表B.4。</w:t>
      </w:r>
    </w:p>
    <w:bookmarkEnd w:id="142"/>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附表B.4  重点勘查区实施情况表</w:t>
      </w:r>
    </w:p>
    <w:tbl>
      <w:tblPr>
        <w:tblStyle w:val="28"/>
        <w:tblW w:w="5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71"/>
        <w:gridCol w:w="1910"/>
        <w:gridCol w:w="727"/>
        <w:gridCol w:w="792"/>
        <w:gridCol w:w="641"/>
        <w:gridCol w:w="851"/>
        <w:gridCol w:w="1241"/>
        <w:gridCol w:w="517"/>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8" w:hRule="atLeast"/>
          <w:jc w:val="center"/>
        </w:trPr>
        <w:tc>
          <w:tcPr>
            <w:tcW w:w="617" w:type="pct"/>
            <w:vMerge w:val="restart"/>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重点勘查</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cs="宋体"/>
                <w:b/>
                <w:bCs/>
                <w:color w:val="000000"/>
                <w:sz w:val="18"/>
                <w:szCs w:val="18"/>
                <w:lang w:eastAsia="zh-CN"/>
              </w:rPr>
              <w:t>区</w:t>
            </w:r>
            <w:r>
              <w:rPr>
                <w:rFonts w:hint="eastAsia" w:ascii="宋体" w:hAnsi="宋体" w:eastAsia="宋体" w:cs="宋体"/>
                <w:b/>
                <w:bCs/>
                <w:color w:val="000000"/>
                <w:sz w:val="18"/>
                <w:szCs w:val="18"/>
              </w:rPr>
              <w:t>名称</w:t>
            </w:r>
          </w:p>
        </w:tc>
        <w:tc>
          <w:tcPr>
            <w:tcW w:w="1100"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w:t>
            </w:r>
          </w:p>
        </w:tc>
        <w:tc>
          <w:tcPr>
            <w:tcW w:w="419"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所在行政区</w:t>
            </w:r>
          </w:p>
        </w:tc>
        <w:tc>
          <w:tcPr>
            <w:tcW w:w="456"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面积</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（平方</w:t>
            </w:r>
            <w:r>
              <w:rPr>
                <w:rFonts w:hint="eastAsia" w:ascii="宋体" w:hAnsi="宋体" w:cs="宋体"/>
                <w:b/>
                <w:bCs/>
                <w:color w:val="000000"/>
                <w:sz w:val="18"/>
                <w:szCs w:val="18"/>
                <w:lang w:eastAsia="zh-CN"/>
              </w:rPr>
              <w:t>千米</w:t>
            </w:r>
            <w:r>
              <w:rPr>
                <w:rFonts w:hint="eastAsia" w:ascii="宋体" w:hAnsi="宋体" w:eastAsia="宋体" w:cs="宋体"/>
                <w:b/>
                <w:bCs/>
                <w:color w:val="000000"/>
                <w:sz w:val="18"/>
                <w:szCs w:val="18"/>
              </w:rPr>
              <w:t>）</w:t>
            </w:r>
          </w:p>
        </w:tc>
        <w:tc>
          <w:tcPr>
            <w:tcW w:w="369"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主要矿</w:t>
            </w:r>
            <w:r>
              <w:rPr>
                <w:rFonts w:hint="eastAsia" w:ascii="宋体" w:hAnsi="宋体" w:cs="宋体"/>
                <w:b/>
                <w:bCs/>
                <w:color w:val="000000"/>
                <w:sz w:val="18"/>
                <w:szCs w:val="18"/>
                <w:lang w:eastAsia="zh-CN"/>
              </w:rPr>
              <w:t>种</w:t>
            </w:r>
          </w:p>
        </w:tc>
        <w:tc>
          <w:tcPr>
            <w:tcW w:w="490" w:type="pct"/>
            <w:vMerge w:val="restart"/>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探矿权</w:t>
            </w:r>
          </w:p>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数量（个）</w:t>
            </w:r>
          </w:p>
        </w:tc>
        <w:tc>
          <w:tcPr>
            <w:tcW w:w="715" w:type="pct"/>
            <w:vMerge w:val="restart"/>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新增查明资源量</w:t>
            </w:r>
          </w:p>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（规划期累计）</w:t>
            </w:r>
          </w:p>
        </w:tc>
        <w:tc>
          <w:tcPr>
            <w:tcW w:w="831" w:type="pct"/>
            <w:gridSpan w:val="2"/>
            <w:noWrap w:val="0"/>
            <w:vAlign w:val="center"/>
          </w:tcPr>
          <w:p>
            <w:pPr>
              <w:spacing w:before="0"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财政出资项目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jc w:val="center"/>
        </w:trPr>
        <w:tc>
          <w:tcPr>
            <w:tcW w:w="617" w:type="pct"/>
            <w:vMerge w:val="continue"/>
            <w:noWrap w:val="0"/>
            <w:vAlign w:val="center"/>
          </w:tcPr>
          <w:p>
            <w:pPr>
              <w:spacing w:before="107" w:line="280" w:lineRule="exact"/>
              <w:jc w:val="center"/>
              <w:outlineLvl w:val="9"/>
              <w:rPr>
                <w:b/>
                <w:bCs/>
              </w:rPr>
            </w:pPr>
          </w:p>
        </w:tc>
        <w:tc>
          <w:tcPr>
            <w:tcW w:w="1100" w:type="pct"/>
            <w:vMerge w:val="continue"/>
            <w:noWrap w:val="0"/>
            <w:vAlign w:val="center"/>
          </w:tcPr>
          <w:p>
            <w:pPr>
              <w:spacing w:before="107" w:line="280" w:lineRule="exact"/>
              <w:jc w:val="center"/>
              <w:outlineLvl w:val="9"/>
              <w:rPr>
                <w:b/>
                <w:bCs/>
              </w:rPr>
            </w:pPr>
          </w:p>
        </w:tc>
        <w:tc>
          <w:tcPr>
            <w:tcW w:w="419" w:type="pct"/>
            <w:vMerge w:val="continue"/>
            <w:noWrap w:val="0"/>
            <w:vAlign w:val="center"/>
          </w:tcPr>
          <w:p>
            <w:pPr>
              <w:spacing w:before="107" w:line="280" w:lineRule="exact"/>
              <w:jc w:val="center"/>
              <w:outlineLvl w:val="9"/>
              <w:rPr>
                <w:b/>
                <w:bCs/>
              </w:rPr>
            </w:pPr>
          </w:p>
        </w:tc>
        <w:tc>
          <w:tcPr>
            <w:tcW w:w="456" w:type="pct"/>
            <w:vMerge w:val="continue"/>
            <w:noWrap w:val="0"/>
            <w:vAlign w:val="center"/>
          </w:tcPr>
          <w:p>
            <w:pPr>
              <w:spacing w:before="107" w:line="280" w:lineRule="exact"/>
              <w:jc w:val="center"/>
              <w:outlineLvl w:val="9"/>
              <w:rPr>
                <w:b/>
                <w:bCs/>
              </w:rPr>
            </w:pPr>
          </w:p>
        </w:tc>
        <w:tc>
          <w:tcPr>
            <w:tcW w:w="369" w:type="pct"/>
            <w:vMerge w:val="continue"/>
            <w:noWrap w:val="0"/>
            <w:vAlign w:val="center"/>
          </w:tcPr>
          <w:p>
            <w:pPr>
              <w:spacing w:before="107" w:line="280" w:lineRule="exact"/>
              <w:jc w:val="center"/>
              <w:outlineLvl w:val="9"/>
              <w:rPr>
                <w:b/>
                <w:bCs/>
              </w:rPr>
            </w:pPr>
          </w:p>
        </w:tc>
        <w:tc>
          <w:tcPr>
            <w:tcW w:w="490" w:type="pct"/>
            <w:vMerge w:val="continue"/>
            <w:noWrap w:val="0"/>
            <w:vAlign w:val="center"/>
          </w:tcPr>
          <w:p>
            <w:pPr>
              <w:spacing w:before="107" w:line="280" w:lineRule="exact"/>
              <w:jc w:val="center"/>
              <w:outlineLvl w:val="9"/>
              <w:rPr>
                <w:b/>
                <w:bCs/>
              </w:rPr>
            </w:pPr>
          </w:p>
        </w:tc>
        <w:tc>
          <w:tcPr>
            <w:tcW w:w="715" w:type="pct"/>
            <w:vMerge w:val="continue"/>
            <w:noWrap w:val="0"/>
            <w:vAlign w:val="center"/>
          </w:tcPr>
          <w:p>
            <w:pPr>
              <w:spacing w:before="107" w:line="280" w:lineRule="exact"/>
              <w:jc w:val="center"/>
              <w:outlineLvl w:val="9"/>
              <w:rPr>
                <w:b/>
                <w:bCs/>
              </w:rPr>
            </w:pPr>
          </w:p>
        </w:tc>
        <w:tc>
          <w:tcPr>
            <w:tcW w:w="298" w:type="pct"/>
            <w:noWrap w:val="0"/>
            <w:vAlign w:val="center"/>
          </w:tcPr>
          <w:p>
            <w:pPr>
              <w:spacing w:before="0"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项目名称</w:t>
            </w:r>
          </w:p>
        </w:tc>
        <w:tc>
          <w:tcPr>
            <w:tcW w:w="532" w:type="pct"/>
            <w:noWrap w:val="0"/>
            <w:vAlign w:val="center"/>
          </w:tcPr>
          <w:p>
            <w:pPr>
              <w:spacing w:before="0"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资金</w:t>
            </w:r>
          </w:p>
          <w:p>
            <w:pPr>
              <w:spacing w:before="0"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restart"/>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重点勘查区</w:t>
            </w:r>
            <w:r>
              <w:rPr>
                <w:rFonts w:hint="eastAsia" w:ascii="宋体" w:hAnsi="宋体" w:cs="宋体"/>
                <w:color w:val="000000"/>
                <w:sz w:val="18"/>
                <w:szCs w:val="18"/>
                <w:lang w:val="en-US" w:eastAsia="zh-CN"/>
              </w:rPr>
              <w:t>1</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restart"/>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重点勘查区</w:t>
            </w:r>
            <w:r>
              <w:rPr>
                <w:rFonts w:hint="eastAsia" w:ascii="宋体" w:hAnsi="宋体" w:cs="宋体"/>
                <w:color w:val="000000"/>
                <w:sz w:val="18"/>
                <w:szCs w:val="18"/>
                <w:lang w:val="en-US" w:eastAsia="zh-CN"/>
              </w:rPr>
              <w:t>2</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restart"/>
            <w:noWrap w:val="0"/>
            <w:vAlign w:val="center"/>
          </w:tcPr>
          <w:p>
            <w:pPr>
              <w:spacing w:before="107" w:line="280" w:lineRule="exact"/>
              <w:jc w:val="center"/>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exact"/>
          <w:jc w:val="center"/>
        </w:trPr>
        <w:tc>
          <w:tcPr>
            <w:tcW w:w="617"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1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5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6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9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29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532"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2" w:hRule="atLeast"/>
          <w:jc w:val="center"/>
        </w:trPr>
        <w:tc>
          <w:tcPr>
            <w:tcW w:w="5000" w:type="pct"/>
            <w:gridSpan w:val="9"/>
            <w:noWrap w:val="0"/>
            <w:vAlign w:val="center"/>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Times New Roman" w:hAnsi="Times New Roman" w:cs="Times New Roman"/>
                <w:lang w:eastAsia="zh-CN"/>
              </w:rPr>
            </w:pPr>
            <w:r>
              <w:rPr>
                <w:rFonts w:hint="eastAsia" w:ascii="黑体" w:hAnsi="黑体" w:eastAsia="黑体" w:cs="黑体"/>
                <w:lang w:eastAsia="zh-CN"/>
              </w:rPr>
              <w:t>注</w:t>
            </w:r>
            <w:r>
              <w:rPr>
                <w:rFonts w:hint="eastAsia" w:ascii="黑体" w:hAnsi="黑体" w:eastAsia="黑体" w:cs="黑体"/>
                <w:lang w:val="en-US" w:eastAsia="zh-CN"/>
              </w:rPr>
              <w:t>1：</w:t>
            </w:r>
            <w:r>
              <w:rPr>
                <w:rFonts w:hint="eastAsia" w:ascii="Times New Roman" w:hAnsi="Times New Roman" w:cs="Times New Roman"/>
                <w:lang w:eastAsia="zh-CN"/>
              </w:rPr>
              <w:t>应包括落实上级规划与本级规划划定的重点勘查区。</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default" w:ascii="宋体" w:hAnsi="宋体" w:cs="宋体"/>
                <w:color w:val="000000"/>
                <w:sz w:val="18"/>
                <w:szCs w:val="18"/>
                <w:lang w:val="en-US" w:eastAsia="zh-CN"/>
              </w:rPr>
            </w:pPr>
            <w:r>
              <w:rPr>
                <w:rFonts w:hint="eastAsia" w:ascii="黑体" w:hAnsi="黑体" w:eastAsia="黑体" w:cs="黑体"/>
                <w:lang w:eastAsia="zh-CN"/>
              </w:rPr>
              <w:t>注</w:t>
            </w:r>
            <w:r>
              <w:rPr>
                <w:rFonts w:hint="eastAsia" w:ascii="黑体" w:hAnsi="黑体" w:eastAsia="黑体" w:cs="黑体"/>
                <w:lang w:val="en-US" w:eastAsia="zh-CN"/>
              </w:rPr>
              <w:t>2：</w:t>
            </w:r>
            <w:r>
              <w:rPr>
                <w:rFonts w:hint="eastAsia" w:ascii="Times New Roman" w:hAnsi="Times New Roman" w:cs="Times New Roman"/>
                <w:lang w:eastAsia="zh-CN"/>
              </w:rPr>
              <w:t>不涉及能源资源安全保障布局的专项规划可不填此表。</w:t>
            </w: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b/>
          <w:bCs/>
          <w:color w:val="auto"/>
          <w:kern w:val="0"/>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重点开采区实施情况表填写内容和要求见表B.5。</w:t>
      </w:r>
    </w:p>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附表B.5  重点开采区实施情况表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37"/>
        <w:gridCol w:w="1492"/>
        <w:gridCol w:w="832"/>
        <w:gridCol w:w="915"/>
        <w:gridCol w:w="591"/>
        <w:gridCol w:w="1140"/>
        <w:gridCol w:w="1142"/>
        <w:gridCol w:w="836"/>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9" w:hRule="atLeast"/>
          <w:jc w:val="center"/>
        </w:trPr>
        <w:tc>
          <w:tcPr>
            <w:tcW w:w="553"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cs="宋体"/>
                <w:b/>
                <w:bCs/>
                <w:color w:val="000000"/>
                <w:sz w:val="18"/>
                <w:szCs w:val="18"/>
                <w:lang w:eastAsia="zh-CN"/>
              </w:rPr>
              <w:t>重点开采区</w:t>
            </w:r>
            <w:r>
              <w:rPr>
                <w:rFonts w:hint="eastAsia" w:ascii="宋体" w:hAnsi="宋体" w:eastAsia="宋体" w:cs="宋体"/>
                <w:b/>
                <w:bCs/>
                <w:color w:val="000000"/>
                <w:sz w:val="18"/>
                <w:szCs w:val="18"/>
              </w:rPr>
              <w:t>名称</w:t>
            </w:r>
          </w:p>
        </w:tc>
        <w:tc>
          <w:tcPr>
            <w:tcW w:w="796"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w:t>
            </w:r>
          </w:p>
        </w:tc>
        <w:tc>
          <w:tcPr>
            <w:tcW w:w="444"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所在行行政区</w:t>
            </w:r>
          </w:p>
        </w:tc>
        <w:tc>
          <w:tcPr>
            <w:tcW w:w="488"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面积</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（平方</w:t>
            </w:r>
            <w:r>
              <w:rPr>
                <w:rFonts w:hint="eastAsia" w:ascii="宋体" w:hAnsi="宋体" w:cs="宋体"/>
                <w:b/>
                <w:bCs/>
                <w:color w:val="000000"/>
                <w:sz w:val="18"/>
                <w:szCs w:val="18"/>
                <w:lang w:eastAsia="zh-CN"/>
              </w:rPr>
              <w:t>千米</w:t>
            </w:r>
            <w:r>
              <w:rPr>
                <w:rFonts w:hint="eastAsia" w:ascii="宋体" w:hAnsi="宋体" w:eastAsia="宋体" w:cs="宋体"/>
                <w:b/>
                <w:bCs/>
                <w:color w:val="000000"/>
                <w:sz w:val="18"/>
                <w:szCs w:val="18"/>
              </w:rPr>
              <w:t>）</w:t>
            </w:r>
          </w:p>
        </w:tc>
        <w:tc>
          <w:tcPr>
            <w:tcW w:w="315"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主要矿</w:t>
            </w:r>
            <w:r>
              <w:rPr>
                <w:rFonts w:hint="eastAsia" w:ascii="宋体" w:hAnsi="宋体" w:cs="宋体"/>
                <w:b/>
                <w:bCs/>
                <w:color w:val="000000"/>
                <w:sz w:val="18"/>
                <w:szCs w:val="18"/>
                <w:lang w:eastAsia="zh-CN"/>
              </w:rPr>
              <w:t>种</w:t>
            </w:r>
          </w:p>
        </w:tc>
        <w:tc>
          <w:tcPr>
            <w:tcW w:w="1217" w:type="pct"/>
            <w:gridSpan w:val="2"/>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矿山数量（个）</w:t>
            </w:r>
          </w:p>
        </w:tc>
        <w:tc>
          <w:tcPr>
            <w:tcW w:w="1183" w:type="pct"/>
            <w:gridSpan w:val="2"/>
            <w:noWrap w:val="0"/>
            <w:vAlign w:val="center"/>
          </w:tcPr>
          <w:p>
            <w:pPr>
              <w:spacing w:before="107" w:line="280" w:lineRule="exact"/>
              <w:jc w:val="center"/>
              <w:outlineLvl w:val="9"/>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主要矿产品产能／产量</w:t>
            </w:r>
            <w:r>
              <w:rPr>
                <w:rFonts w:hint="eastAsia" w:ascii="宋体" w:hAnsi="宋体" w:cs="宋体"/>
                <w:b/>
                <w:bCs/>
                <w:color w:val="000000"/>
                <w:sz w:val="18"/>
                <w:szCs w:val="18"/>
                <w:lang w:eastAsia="zh-CN"/>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553" w:type="pct"/>
            <w:vMerge w:val="continue"/>
            <w:noWrap w:val="0"/>
            <w:vAlign w:val="center"/>
          </w:tcPr>
          <w:p>
            <w:pPr>
              <w:spacing w:before="107" w:line="280" w:lineRule="exact"/>
              <w:jc w:val="center"/>
              <w:outlineLvl w:val="9"/>
              <w:rPr>
                <w:rFonts w:hint="eastAsia" w:ascii="宋体" w:hAnsi="宋体" w:cs="宋体"/>
                <w:b/>
                <w:bCs/>
                <w:color w:val="000000"/>
                <w:sz w:val="18"/>
                <w:szCs w:val="18"/>
                <w:lang w:eastAsia="zh-CN"/>
              </w:rPr>
            </w:pPr>
          </w:p>
        </w:tc>
        <w:tc>
          <w:tcPr>
            <w:tcW w:w="7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b/>
                <w:bCs/>
                <w:color w:val="000000"/>
                <w:sz w:val="18"/>
                <w:szCs w:val="18"/>
              </w:rPr>
            </w:pPr>
          </w:p>
        </w:tc>
        <w:tc>
          <w:tcPr>
            <w:tcW w:w="444" w:type="pct"/>
            <w:vMerge w:val="continue"/>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488" w:type="pct"/>
            <w:vMerge w:val="continue"/>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315" w:type="pct"/>
            <w:vMerge w:val="continue"/>
            <w:noWrap w:val="0"/>
            <w:vAlign w:val="center"/>
          </w:tcPr>
          <w:p>
            <w:pPr>
              <w:spacing w:before="107" w:line="280" w:lineRule="exact"/>
              <w:jc w:val="center"/>
              <w:outlineLvl w:val="9"/>
              <w:rPr>
                <w:rFonts w:hint="eastAsia" w:ascii="宋体" w:hAnsi="宋体" w:eastAsia="宋体" w:cs="宋体"/>
                <w:b/>
                <w:bCs/>
                <w:color w:val="000000"/>
                <w:sz w:val="18"/>
                <w:szCs w:val="18"/>
              </w:rPr>
            </w:pPr>
          </w:p>
        </w:tc>
        <w:tc>
          <w:tcPr>
            <w:tcW w:w="608" w:type="pct"/>
            <w:noWrap w:val="0"/>
            <w:vAlign w:val="center"/>
          </w:tcPr>
          <w:p>
            <w:pPr>
              <w:spacing w:before="107" w:line="280" w:lineRule="exact"/>
              <w:jc w:val="center"/>
              <w:outlineLvl w:val="9"/>
              <w:rPr>
                <w:rFonts w:hint="eastAsia" w:ascii="宋体" w:hAnsi="宋体" w:cs="宋体"/>
                <w:b/>
                <w:bCs/>
                <w:color w:val="000000"/>
                <w:sz w:val="18"/>
                <w:szCs w:val="18"/>
                <w:lang w:eastAsia="zh-CN"/>
              </w:rPr>
            </w:pPr>
          </w:p>
        </w:tc>
        <w:tc>
          <w:tcPr>
            <w:tcW w:w="609" w:type="pct"/>
            <w:noWrap w:val="0"/>
            <w:vAlign w:val="center"/>
          </w:tcPr>
          <w:p>
            <w:pPr>
              <w:spacing w:before="107" w:line="280" w:lineRule="exact"/>
              <w:jc w:val="center"/>
              <w:outlineLvl w:val="9"/>
              <w:rPr>
                <w:rFonts w:hint="eastAsia" w:ascii="宋体" w:hAnsi="宋体" w:cs="宋体"/>
                <w:b/>
                <w:bCs/>
                <w:color w:val="000000"/>
                <w:sz w:val="18"/>
                <w:szCs w:val="18"/>
                <w:lang w:eastAsia="zh-CN"/>
              </w:rPr>
            </w:pPr>
            <w:r>
              <w:rPr>
                <w:rFonts w:hint="eastAsia" w:ascii="宋体" w:hAnsi="宋体" w:cs="宋体"/>
                <w:b/>
                <w:bCs/>
                <w:color w:val="000000"/>
                <w:sz w:val="18"/>
                <w:szCs w:val="18"/>
                <w:lang w:eastAsia="zh-CN"/>
              </w:rPr>
              <w:t>其中：大中型矿山数量</w:t>
            </w:r>
          </w:p>
        </w:tc>
        <w:tc>
          <w:tcPr>
            <w:tcW w:w="446" w:type="pct"/>
            <w:noWrap w:val="0"/>
            <w:vAlign w:val="center"/>
          </w:tcPr>
          <w:p>
            <w:pPr>
              <w:spacing w:before="107" w:line="280" w:lineRule="exact"/>
              <w:jc w:val="center"/>
              <w:outlineLvl w:val="9"/>
              <w:rPr>
                <w:rFonts w:hint="eastAsia" w:ascii="宋体" w:hAnsi="宋体" w:cs="宋体"/>
                <w:b/>
                <w:bCs/>
                <w:color w:val="000000"/>
                <w:sz w:val="18"/>
                <w:szCs w:val="18"/>
                <w:lang w:eastAsia="zh-CN"/>
              </w:rPr>
            </w:pPr>
          </w:p>
        </w:tc>
        <w:tc>
          <w:tcPr>
            <w:tcW w:w="736" w:type="pct"/>
            <w:noWrap w:val="0"/>
            <w:vAlign w:val="center"/>
          </w:tcPr>
          <w:p>
            <w:pPr>
              <w:spacing w:before="107" w:line="280" w:lineRule="exact"/>
              <w:jc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eastAsia="zh-CN"/>
              </w:rPr>
              <w:t>其中：</w:t>
            </w:r>
            <w:r>
              <w:rPr>
                <w:rFonts w:hint="eastAsia" w:ascii="宋体" w:hAnsi="宋体" w:eastAsia="宋体" w:cs="宋体"/>
                <w:b/>
                <w:bCs/>
                <w:color w:val="000000"/>
                <w:sz w:val="18"/>
                <w:szCs w:val="18"/>
              </w:rPr>
              <w:t>占本省（区、市</w:t>
            </w:r>
            <w:r>
              <w:rPr>
                <w:rFonts w:hint="eastAsia" w:ascii="宋体" w:hAnsi="宋体" w:cs="宋体"/>
                <w:b/>
                <w:bCs/>
                <w:color w:val="000000"/>
                <w:sz w:val="18"/>
                <w:szCs w:val="18"/>
                <w:lang w:eastAsia="zh-CN"/>
              </w:rPr>
              <w:t>、县</w:t>
            </w:r>
            <w:r>
              <w:rPr>
                <w:rFonts w:hint="eastAsia" w:ascii="宋体" w:hAnsi="宋体" w:eastAsia="宋体" w:cs="宋体"/>
                <w:b/>
                <w:bCs/>
                <w:color w:val="000000"/>
                <w:sz w:val="18"/>
                <w:szCs w:val="18"/>
              </w:rPr>
              <w:t>）总产能／产量的比例</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w:t>
            </w:r>
            <w:r>
              <w:rPr>
                <w:rFonts w:hint="eastAsia" w:ascii="宋体" w:hAnsi="宋体" w:cs="宋体"/>
                <w:b/>
                <w:bCs/>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atLeast"/>
          <w:jc w:val="center"/>
        </w:trPr>
        <w:tc>
          <w:tcPr>
            <w:tcW w:w="553" w:type="pct"/>
            <w:vMerge w:val="restart"/>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重点开采区</w:t>
            </w:r>
            <w:r>
              <w:rPr>
                <w:rFonts w:hint="eastAsia" w:ascii="宋体" w:hAnsi="宋体" w:cs="宋体"/>
                <w:color w:val="000000"/>
                <w:sz w:val="18"/>
                <w:szCs w:val="18"/>
                <w:lang w:val="en-US" w:eastAsia="zh-CN"/>
              </w:rPr>
              <w:t>1</w:t>
            </w: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553"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XX年</w:t>
            </w:r>
            <w:r>
              <w:rPr>
                <w:rFonts w:hint="eastAsia" w:ascii="宋体" w:hAnsi="宋体" w:eastAsia="宋体" w:cs="宋体"/>
                <w:color w:val="000000"/>
                <w:sz w:val="18"/>
                <w:szCs w:val="18"/>
              </w:rPr>
              <w:t>）</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 w:hRule="atLeast"/>
          <w:jc w:val="center"/>
        </w:trPr>
        <w:tc>
          <w:tcPr>
            <w:tcW w:w="553" w:type="pct"/>
            <w:vMerge w:val="restart"/>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重点开采区</w:t>
            </w:r>
            <w:r>
              <w:rPr>
                <w:rFonts w:hint="eastAsia" w:ascii="宋体" w:hAnsi="宋体" w:cs="宋体"/>
                <w:color w:val="000000"/>
                <w:sz w:val="18"/>
                <w:szCs w:val="18"/>
                <w:lang w:val="en-US" w:eastAsia="zh-CN"/>
              </w:rPr>
              <w:t>2</w:t>
            </w: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9" w:hRule="atLeast"/>
          <w:jc w:val="center"/>
        </w:trPr>
        <w:tc>
          <w:tcPr>
            <w:tcW w:w="553"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atLeast"/>
          <w:jc w:val="center"/>
        </w:trPr>
        <w:tc>
          <w:tcPr>
            <w:tcW w:w="553" w:type="pct"/>
            <w:vMerge w:val="restart"/>
            <w:noWrap w:val="0"/>
            <w:vAlign w:val="center"/>
          </w:tcPr>
          <w:p>
            <w:pPr>
              <w:spacing w:before="107" w:line="280" w:lineRule="exact"/>
              <w:jc w:val="center"/>
              <w:outlineLvl w:val="9"/>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规划基期（</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atLeast"/>
          <w:jc w:val="center"/>
        </w:trPr>
        <w:tc>
          <w:tcPr>
            <w:tcW w:w="553" w:type="pct"/>
            <w:vMerge w:val="continue"/>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9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atLeast"/>
              <w:jc w:val="center"/>
              <w:textAlignment w:val="auto"/>
              <w:outlineLvl w:val="9"/>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规划中期</w:t>
            </w:r>
            <w:r>
              <w:rPr>
                <w:rFonts w:hint="eastAsia" w:ascii="宋体" w:hAnsi="宋体" w:cs="宋体"/>
                <w:color w:val="000000"/>
                <w:sz w:val="18"/>
                <w:szCs w:val="18"/>
                <w:lang w:val="en-US" w:eastAsia="zh-CN"/>
              </w:rPr>
              <w:t>/终期</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XX</w:t>
            </w:r>
            <w:r>
              <w:rPr>
                <w:rFonts w:hint="eastAsia" w:ascii="宋体" w:hAnsi="宋体" w:eastAsia="宋体" w:cs="宋体"/>
                <w:color w:val="000000"/>
                <w:sz w:val="18"/>
                <w:szCs w:val="18"/>
              </w:rPr>
              <w:t>年）</w:t>
            </w:r>
          </w:p>
        </w:tc>
        <w:tc>
          <w:tcPr>
            <w:tcW w:w="444"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8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315"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8"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60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46"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736"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0" w:hRule="atLeast"/>
          <w:jc w:val="center"/>
        </w:trPr>
        <w:tc>
          <w:tcPr>
            <w:tcW w:w="5000" w:type="pct"/>
            <w:gridSpan w:val="9"/>
            <w:noWrap w:val="0"/>
            <w:vAlign w:val="center"/>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Times New Roman" w:hAnsi="Times New Roman" w:cs="Times New Roman"/>
                <w:lang w:eastAsia="zh-CN"/>
              </w:rPr>
            </w:pPr>
            <w:r>
              <w:rPr>
                <w:rFonts w:hint="eastAsia" w:ascii="黑体" w:hAnsi="黑体" w:eastAsia="黑体" w:cs="黑体"/>
                <w:lang w:eastAsia="zh-CN"/>
              </w:rPr>
              <w:t>注</w:t>
            </w:r>
            <w:r>
              <w:rPr>
                <w:rFonts w:hint="eastAsia" w:ascii="黑体" w:hAnsi="黑体" w:eastAsia="黑体" w:cs="黑体"/>
                <w:lang w:val="en-US" w:eastAsia="zh-CN"/>
              </w:rPr>
              <w:t>1：</w:t>
            </w:r>
            <w:r>
              <w:rPr>
                <w:rFonts w:hint="eastAsia" w:ascii="Times New Roman" w:hAnsi="Times New Roman" w:cs="Times New Roman"/>
                <w:lang w:eastAsia="zh-CN"/>
              </w:rPr>
              <w:t>应包括落实上级规划与本级规划划定的重点勘查区。</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宋体" w:hAnsi="宋体" w:eastAsia="宋体" w:cs="宋体"/>
                <w:color w:val="000000"/>
                <w:sz w:val="18"/>
                <w:szCs w:val="18"/>
              </w:rPr>
            </w:pPr>
            <w:r>
              <w:rPr>
                <w:rFonts w:hint="eastAsia" w:ascii="黑体" w:hAnsi="黑体" w:eastAsia="黑体" w:cs="黑体"/>
                <w:lang w:eastAsia="zh-CN"/>
              </w:rPr>
              <w:t>注</w:t>
            </w:r>
            <w:r>
              <w:rPr>
                <w:rFonts w:hint="eastAsia" w:ascii="黑体" w:hAnsi="黑体" w:eastAsia="黑体" w:cs="黑体"/>
                <w:lang w:val="en-US" w:eastAsia="zh-CN"/>
              </w:rPr>
              <w:t>2：</w:t>
            </w:r>
            <w:r>
              <w:rPr>
                <w:rFonts w:hint="eastAsia" w:ascii="Times New Roman" w:hAnsi="Times New Roman" w:cs="Times New Roman"/>
                <w:lang w:eastAsia="zh-CN"/>
              </w:rPr>
              <w:t>不涉及能源资源安全保障布局的专项规划可不填此表。</w:t>
            </w:r>
          </w:p>
        </w:tc>
      </w:tr>
    </w:tbl>
    <w:p>
      <w:pPr>
        <w:pStyle w:val="247"/>
        <w:keepNext w:val="0"/>
        <w:keepLines w:val="0"/>
        <w:pageBreakBefore w:val="0"/>
        <w:widowControl/>
        <w:kinsoku/>
        <w:wordWrap/>
        <w:overflowPunct/>
        <w:topLinePunct w:val="0"/>
        <w:autoSpaceDE/>
        <w:autoSpaceDN/>
        <w:bidi w:val="0"/>
        <w:adjustRightInd/>
        <w:snapToGrid/>
        <w:spacing w:before="0" w:beforeLines="0"/>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val="0"/>
        <w:autoSpaceDN w:val="0"/>
        <w:bidi w:val="0"/>
        <w:adjustRightInd/>
        <w:snapToGrid/>
        <w:spacing w:before="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重大工程/重点项目进展情况表填写内容和要求见表B.6。</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附表B.6 重大工程/重点项目进展情况表</w:t>
      </w:r>
    </w:p>
    <w:tbl>
      <w:tblPr>
        <w:tblStyle w:val="28"/>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8"/>
        <w:gridCol w:w="1718"/>
        <w:gridCol w:w="1488"/>
        <w:gridCol w:w="219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1545"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lang w:eastAsia="zh-CN"/>
              </w:rPr>
              <w:t>重大工程（</w:t>
            </w:r>
            <w:r>
              <w:rPr>
                <w:rFonts w:hint="eastAsia" w:ascii="宋体" w:hAnsi="宋体" w:eastAsia="宋体" w:cs="宋体"/>
                <w:b/>
                <w:bCs/>
                <w:color w:val="000000"/>
                <w:sz w:val="18"/>
                <w:szCs w:val="18"/>
              </w:rPr>
              <w:t>重点项目</w:t>
            </w:r>
            <w:r>
              <w:rPr>
                <w:rFonts w:hint="eastAsia" w:ascii="宋体" w:hAnsi="宋体" w:eastAsia="宋体" w:cs="宋体"/>
                <w:b/>
                <w:bCs/>
                <w:color w:val="000000"/>
                <w:sz w:val="18"/>
                <w:szCs w:val="18"/>
                <w:lang w:eastAsia="zh-CN"/>
              </w:rPr>
              <w:t>）类型</w:t>
            </w:r>
          </w:p>
        </w:tc>
        <w:tc>
          <w:tcPr>
            <w:tcW w:w="1771" w:type="pct"/>
            <w:gridSpan w:val="2"/>
            <w:noWrap w:val="0"/>
            <w:vAlign w:val="top"/>
          </w:tcPr>
          <w:p>
            <w:pPr>
              <w:spacing w:before="107" w:line="280" w:lineRule="exact"/>
              <w:jc w:val="center"/>
              <w:outlineLvl w:val="9"/>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rPr>
              <w:t>规划中期</w:t>
            </w:r>
            <w:r>
              <w:rPr>
                <w:rFonts w:hint="eastAsia" w:ascii="宋体" w:hAnsi="宋体" w:eastAsia="宋体" w:cs="宋体"/>
                <w:b/>
                <w:bCs/>
                <w:color w:val="000000"/>
                <w:sz w:val="18"/>
                <w:szCs w:val="18"/>
                <w:lang w:val="en-US" w:eastAsia="zh-CN"/>
              </w:rPr>
              <w:t>/终期</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eastAsia="zh-CN"/>
              </w:rPr>
              <w:t>XX</w:t>
            </w:r>
            <w:r>
              <w:rPr>
                <w:rFonts w:hint="eastAsia" w:ascii="宋体" w:hAnsi="宋体" w:eastAsia="宋体" w:cs="宋体"/>
                <w:b/>
                <w:bCs/>
                <w:color w:val="000000"/>
                <w:sz w:val="18"/>
                <w:szCs w:val="18"/>
              </w:rPr>
              <w:t>～</w:t>
            </w:r>
            <w:r>
              <w:rPr>
                <w:rFonts w:hint="eastAsia" w:ascii="宋体" w:hAnsi="宋体" w:eastAsia="宋体" w:cs="宋体"/>
                <w:b/>
                <w:bCs/>
                <w:color w:val="000000"/>
                <w:sz w:val="18"/>
                <w:szCs w:val="18"/>
                <w:lang w:val="en-US" w:eastAsia="zh-CN"/>
              </w:rPr>
              <w:t>XX</w:t>
            </w:r>
            <w:r>
              <w:rPr>
                <w:rFonts w:hint="eastAsia" w:ascii="宋体" w:hAnsi="宋体" w:eastAsia="宋体" w:cs="宋体"/>
                <w:b/>
                <w:bCs/>
                <w:color w:val="000000"/>
                <w:sz w:val="18"/>
                <w:szCs w:val="18"/>
              </w:rPr>
              <w:t>年）</w:t>
            </w:r>
          </w:p>
        </w:tc>
        <w:tc>
          <w:tcPr>
            <w:tcW w:w="1210"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已取得的成效</w:t>
            </w:r>
          </w:p>
        </w:tc>
        <w:tc>
          <w:tcPr>
            <w:tcW w:w="473" w:type="pct"/>
            <w:vMerge w:val="restart"/>
            <w:noWrap w:val="0"/>
            <w:vAlign w:val="center"/>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1545" w:type="pct"/>
            <w:vMerge w:val="continue"/>
            <w:noWrap w:val="0"/>
            <w:vAlign w:val="top"/>
          </w:tcPr>
          <w:p>
            <w:pPr>
              <w:spacing w:before="107" w:line="280" w:lineRule="exact"/>
              <w:jc w:val="center"/>
              <w:outlineLvl w:val="9"/>
              <w:rPr>
                <w:rFonts w:hint="eastAsia" w:ascii="宋体" w:hAnsi="宋体" w:eastAsia="宋体" w:cs="宋体"/>
                <w:color w:val="000000"/>
                <w:sz w:val="18"/>
                <w:szCs w:val="18"/>
              </w:rPr>
            </w:pPr>
          </w:p>
        </w:tc>
        <w:tc>
          <w:tcPr>
            <w:tcW w:w="949" w:type="pct"/>
            <w:noWrap w:val="0"/>
            <w:vAlign w:val="top"/>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项目数量</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（个）</w:t>
            </w:r>
          </w:p>
        </w:tc>
        <w:tc>
          <w:tcPr>
            <w:tcW w:w="821" w:type="pct"/>
            <w:noWrap w:val="0"/>
            <w:vAlign w:val="top"/>
          </w:tcPr>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经费投入</w:t>
            </w:r>
          </w:p>
          <w:p>
            <w:pPr>
              <w:spacing w:before="107" w:line="280" w:lineRule="exact"/>
              <w:jc w:val="center"/>
              <w:outlineLvl w:val="9"/>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（万元）</w:t>
            </w:r>
          </w:p>
        </w:tc>
        <w:tc>
          <w:tcPr>
            <w:tcW w:w="1210" w:type="pct"/>
            <w:vMerge w:val="continue"/>
            <w:noWrap w:val="0"/>
            <w:vAlign w:val="top"/>
          </w:tcPr>
          <w:p>
            <w:pPr>
              <w:spacing w:before="107" w:line="280" w:lineRule="exact"/>
              <w:jc w:val="center"/>
              <w:outlineLvl w:val="9"/>
              <w:rPr>
                <w:rFonts w:hint="eastAsia" w:ascii="宋体" w:hAnsi="宋体" w:eastAsia="宋体" w:cs="宋体"/>
                <w:color w:val="000000"/>
                <w:sz w:val="18"/>
                <w:szCs w:val="18"/>
              </w:rPr>
            </w:pPr>
          </w:p>
        </w:tc>
        <w:tc>
          <w:tcPr>
            <w:tcW w:w="473" w:type="pct"/>
            <w:vMerge w:val="continue"/>
            <w:noWrap w:val="0"/>
            <w:vAlign w:val="top"/>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545" w:type="pct"/>
            <w:noWrap w:val="0"/>
            <w:vAlign w:val="center"/>
          </w:tcPr>
          <w:p>
            <w:pPr>
              <w:spacing w:before="0" w:line="280" w:lineRule="exact"/>
              <w:jc w:val="center"/>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基础地质调查</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6" w:hRule="atLeast"/>
          <w:jc w:val="center"/>
        </w:trPr>
        <w:tc>
          <w:tcPr>
            <w:tcW w:w="1545" w:type="pct"/>
            <w:noWrap w:val="0"/>
            <w:vAlign w:val="center"/>
          </w:tcPr>
          <w:p>
            <w:pPr>
              <w:spacing w:before="0" w:line="280" w:lineRule="exact"/>
              <w:jc w:val="center"/>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矿产资源勘查</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1545" w:type="pct"/>
            <w:noWrap w:val="0"/>
            <w:vAlign w:val="center"/>
          </w:tcPr>
          <w:p>
            <w:pPr>
              <w:spacing w:before="0" w:line="280" w:lineRule="exact"/>
              <w:jc w:val="center"/>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矿产资源节约与综合利用</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atLeast"/>
          <w:jc w:val="center"/>
        </w:trPr>
        <w:tc>
          <w:tcPr>
            <w:tcW w:w="1545" w:type="pct"/>
            <w:noWrap w:val="0"/>
            <w:vAlign w:val="center"/>
          </w:tcPr>
          <w:p>
            <w:pPr>
              <w:spacing w:before="0" w:line="280" w:lineRule="exact"/>
              <w:jc w:val="center"/>
              <w:outlineLvl w:val="9"/>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绿色勘查示范/绿色开采示范</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545" w:type="pct"/>
            <w:noWrap w:val="0"/>
            <w:vAlign w:val="center"/>
          </w:tcPr>
          <w:p>
            <w:pPr>
              <w:spacing w:before="0" w:line="280" w:lineRule="exact"/>
              <w:jc w:val="center"/>
              <w:outlineLvl w:val="9"/>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矿业科技创新</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6" w:hRule="atLeast"/>
          <w:jc w:val="center"/>
        </w:trPr>
        <w:tc>
          <w:tcPr>
            <w:tcW w:w="1545" w:type="pct"/>
            <w:noWrap w:val="0"/>
            <w:vAlign w:val="top"/>
          </w:tcPr>
          <w:p>
            <w:pPr>
              <w:spacing w:before="0" w:line="280" w:lineRule="exact"/>
              <w:jc w:val="center"/>
              <w:outlineLvl w:val="9"/>
              <w:rPr>
                <w:rFonts w:hint="eastAsia" w:ascii="宋体" w:hAnsi="宋体" w:eastAsia="宋体" w:cs="宋体"/>
                <w:color w:val="000000"/>
                <w:sz w:val="18"/>
                <w:szCs w:val="18"/>
                <w:lang w:val="en-US" w:eastAsia="zh-CN"/>
              </w:rPr>
            </w:pPr>
            <w:r>
              <w:rPr>
                <w:rFonts w:hint="eastAsia" w:ascii="微软雅黑" w:hAnsi="微软雅黑" w:eastAsia="微软雅黑" w:cs="微软雅黑"/>
                <w:color w:val="000000"/>
                <w:sz w:val="18"/>
                <w:szCs w:val="18"/>
                <w:lang w:val="en-US" w:eastAsia="zh-CN"/>
              </w:rPr>
              <w:t>……</w:t>
            </w:r>
          </w:p>
        </w:tc>
        <w:tc>
          <w:tcPr>
            <w:tcW w:w="949"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821"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1210" w:type="pct"/>
            <w:noWrap w:val="0"/>
            <w:vAlign w:val="center"/>
          </w:tcPr>
          <w:p>
            <w:pPr>
              <w:spacing w:before="107" w:line="280" w:lineRule="exact"/>
              <w:jc w:val="center"/>
              <w:outlineLvl w:val="9"/>
              <w:rPr>
                <w:rFonts w:hint="eastAsia" w:ascii="宋体" w:hAnsi="宋体" w:eastAsia="宋体" w:cs="宋体"/>
                <w:color w:val="000000"/>
                <w:sz w:val="18"/>
                <w:szCs w:val="18"/>
              </w:rPr>
            </w:pPr>
          </w:p>
        </w:tc>
        <w:tc>
          <w:tcPr>
            <w:tcW w:w="473" w:type="pct"/>
            <w:noWrap w:val="0"/>
            <w:vAlign w:val="center"/>
          </w:tcPr>
          <w:p>
            <w:pPr>
              <w:spacing w:before="107" w:line="280" w:lineRule="exact"/>
              <w:jc w:val="center"/>
              <w:outlineLvl w:val="9"/>
              <w:rPr>
                <w:rFonts w:hint="eastAsia" w:ascii="宋体" w:hAnsi="宋体" w:eastAsia="宋体" w:cs="宋体"/>
                <w:color w:val="000000"/>
                <w:sz w:val="18"/>
                <w:szCs w:val="18"/>
              </w:rPr>
            </w:pPr>
          </w:p>
        </w:tc>
      </w:tr>
    </w:tbl>
    <w:p>
      <w:pPr>
        <w:pStyle w:val="24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outlineLvl w:val="9"/>
        <w:rPr>
          <w:rFonts w:hint="eastAsia" w:ascii="宋体" w:hAnsi="宋体" w:eastAsia="宋体" w:cs="宋体"/>
          <w:b/>
          <w:bCs/>
          <w:color w:val="auto"/>
          <w:kern w:val="0"/>
          <w:sz w:val="21"/>
          <w:szCs w:val="21"/>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ascii="黑体" w:hAnsi="黑体" w:eastAsia="黑体" w:cs="黑体"/>
          <w:b/>
          <w:bCs/>
          <w:color w:val="auto"/>
          <w:kern w:val="0"/>
          <w:sz w:val="21"/>
          <w:szCs w:val="22"/>
          <w:lang w:val="en-US" w:eastAsia="zh-CN" w:bidi="ar-SA"/>
        </w:rPr>
      </w:pPr>
      <w:r>
        <w:rPr>
          <w:rFonts w:hint="eastAsia" w:hAnsi="宋体" w:cs="宋体"/>
          <w:b w:val="0"/>
          <w:bCs w:val="0"/>
          <w:color w:val="auto"/>
          <w:kern w:val="0"/>
          <w:sz w:val="21"/>
          <w:szCs w:val="22"/>
          <w:lang w:val="en-US" w:eastAsia="zh-CN" w:bidi="ar-SA"/>
        </w:rPr>
        <w:t>砂石土集中开采区建设进展表</w:t>
      </w:r>
      <w:r>
        <w:rPr>
          <w:rFonts w:hint="eastAsia" w:ascii="宋体" w:hAnsi="宋体" w:eastAsia="宋体" w:cs="宋体"/>
          <w:b w:val="0"/>
          <w:bCs w:val="0"/>
          <w:color w:val="auto"/>
          <w:kern w:val="0"/>
          <w:sz w:val="21"/>
          <w:szCs w:val="22"/>
          <w:lang w:val="en-US" w:eastAsia="zh-CN" w:bidi="ar-SA"/>
        </w:rPr>
        <w:t>填写内容和要求见表</w:t>
      </w:r>
      <w:r>
        <w:rPr>
          <w:rFonts w:hint="eastAsia" w:hAnsi="宋体" w:cs="宋体"/>
          <w:b w:val="0"/>
          <w:bCs w:val="0"/>
          <w:color w:val="auto"/>
          <w:kern w:val="0"/>
          <w:sz w:val="21"/>
          <w:szCs w:val="22"/>
          <w:lang w:val="en-US" w:eastAsia="zh-CN" w:bidi="ar-SA"/>
        </w:rPr>
        <w:t>B</w:t>
      </w:r>
      <w:r>
        <w:rPr>
          <w:rFonts w:hint="eastAsia" w:ascii="宋体" w:hAnsi="宋体" w:eastAsia="宋体" w:cs="宋体"/>
          <w:b w:val="0"/>
          <w:bCs w:val="0"/>
          <w:color w:val="auto"/>
          <w:kern w:val="0"/>
          <w:sz w:val="21"/>
          <w:szCs w:val="22"/>
          <w:lang w:val="en-US" w:eastAsia="zh-CN" w:bidi="ar-SA"/>
        </w:rPr>
        <w:t>.</w:t>
      </w:r>
      <w:r>
        <w:rPr>
          <w:rFonts w:hint="eastAsia" w:hAnsi="宋体" w:cs="宋体"/>
          <w:b w:val="0"/>
          <w:bCs w:val="0"/>
          <w:color w:val="auto"/>
          <w:kern w:val="0"/>
          <w:sz w:val="21"/>
          <w:szCs w:val="22"/>
          <w:lang w:val="en-US" w:eastAsia="zh-CN" w:bidi="ar-SA"/>
        </w:rPr>
        <w:t>7</w:t>
      </w:r>
      <w:r>
        <w:rPr>
          <w:rFonts w:hint="eastAsia" w:ascii="宋体" w:hAnsi="宋体" w:eastAsia="宋体" w:cs="宋体"/>
          <w:b w:val="0"/>
          <w:bCs w:val="0"/>
          <w:color w:val="auto"/>
          <w:kern w:val="0"/>
          <w:sz w:val="21"/>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附表B.7 砂石土集中开采区建设进展表</w:t>
      </w:r>
    </w:p>
    <w:tbl>
      <w:tblPr>
        <w:tblStyle w:val="29"/>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77"/>
        <w:gridCol w:w="725"/>
        <w:gridCol w:w="869"/>
        <w:gridCol w:w="509"/>
        <w:gridCol w:w="684"/>
        <w:gridCol w:w="642"/>
        <w:gridCol w:w="570"/>
        <w:gridCol w:w="622"/>
        <w:gridCol w:w="642"/>
        <w:gridCol w:w="436"/>
        <w:gridCol w:w="684"/>
        <w:gridCol w:w="477"/>
        <w:gridCol w:w="67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364" w:type="pct"/>
            <w:vMerge w:val="restart"/>
            <w:noWrap w:val="0"/>
            <w:vAlign w:val="center"/>
          </w:tcPr>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集中开采区名称</w:t>
            </w:r>
          </w:p>
        </w:tc>
        <w:tc>
          <w:tcPr>
            <w:tcW w:w="254" w:type="pct"/>
            <w:vMerge w:val="restart"/>
            <w:noWrap w:val="0"/>
            <w:vAlign w:val="center"/>
          </w:tcPr>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所在行政区</w:t>
            </w:r>
          </w:p>
        </w:tc>
        <w:tc>
          <w:tcPr>
            <w:tcW w:w="386" w:type="pct"/>
            <w:vMerge w:val="restart"/>
            <w:noWrap w:val="0"/>
            <w:vAlign w:val="center"/>
          </w:tcPr>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面积（平方</w:t>
            </w:r>
            <w:r>
              <w:rPr>
                <w:rFonts w:hint="eastAsia" w:ascii="宋体" w:hAnsi="宋体" w:cs="宋体"/>
                <w:b/>
                <w:bCs/>
                <w:kern w:val="0"/>
                <w:sz w:val="18"/>
                <w:szCs w:val="18"/>
                <w:lang w:eastAsia="zh-CN"/>
              </w:rPr>
              <w:t>千米</w:t>
            </w:r>
            <w:r>
              <w:rPr>
                <w:rFonts w:hint="eastAsia" w:ascii="宋体" w:hAnsi="宋体" w:eastAsia="宋体" w:cs="宋体"/>
                <w:b/>
                <w:bCs/>
                <w:kern w:val="0"/>
                <w:sz w:val="18"/>
                <w:szCs w:val="18"/>
                <w:lang w:eastAsia="zh-CN"/>
              </w:rPr>
              <w:t>）</w:t>
            </w:r>
          </w:p>
        </w:tc>
        <w:tc>
          <w:tcPr>
            <w:tcW w:w="463" w:type="pct"/>
            <w:vMerge w:val="restart"/>
            <w:noWrap w:val="0"/>
            <w:vAlign w:val="center"/>
          </w:tcPr>
          <w:p>
            <w:pPr>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年度</w:t>
            </w:r>
          </w:p>
        </w:tc>
        <w:tc>
          <w:tcPr>
            <w:tcW w:w="2809" w:type="pct"/>
            <w:gridSpan w:val="9"/>
            <w:noWrap w:val="0"/>
            <w:vAlign w:val="center"/>
          </w:tcPr>
          <w:p>
            <w:pPr>
              <w:jc w:val="center"/>
              <w:rPr>
                <w:rFonts w:hint="eastAsia" w:ascii="宋体" w:hAnsi="宋体" w:eastAsia="宋体" w:cs="宋体"/>
                <w:b/>
                <w:bCs/>
                <w:sz w:val="18"/>
                <w:szCs w:val="18"/>
              </w:rPr>
            </w:pPr>
            <w:r>
              <w:rPr>
                <w:rFonts w:hint="eastAsia" w:ascii="宋体" w:hAnsi="宋体" w:eastAsia="宋体" w:cs="宋体"/>
                <w:b/>
                <w:bCs/>
                <w:kern w:val="0"/>
                <w:sz w:val="18"/>
                <w:szCs w:val="18"/>
              </w:rPr>
              <w:t>矿山/采矿权</w:t>
            </w:r>
          </w:p>
        </w:tc>
        <w:tc>
          <w:tcPr>
            <w:tcW w:w="721" w:type="pct"/>
            <w:gridSpan w:val="2"/>
            <w:noWrap w:val="0"/>
            <w:vAlign w:val="center"/>
          </w:tcPr>
          <w:p>
            <w:pPr>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砂石产量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64" w:type="pct"/>
            <w:vMerge w:val="continue"/>
            <w:noWrap w:val="0"/>
            <w:vAlign w:val="center"/>
          </w:tcPr>
          <w:p>
            <w:pPr>
              <w:jc w:val="center"/>
              <w:rPr>
                <w:rFonts w:hint="eastAsia" w:ascii="宋体" w:hAnsi="宋体" w:eastAsia="宋体" w:cs="宋体"/>
                <w:b/>
                <w:bCs/>
                <w:sz w:val="18"/>
                <w:szCs w:val="18"/>
              </w:rPr>
            </w:pPr>
          </w:p>
        </w:tc>
        <w:tc>
          <w:tcPr>
            <w:tcW w:w="254" w:type="pct"/>
            <w:vMerge w:val="continue"/>
            <w:noWrap w:val="0"/>
            <w:vAlign w:val="center"/>
          </w:tcPr>
          <w:p>
            <w:pPr>
              <w:jc w:val="center"/>
              <w:rPr>
                <w:rFonts w:hint="eastAsia" w:ascii="宋体" w:hAnsi="宋体" w:eastAsia="宋体" w:cs="宋体"/>
                <w:b/>
                <w:bCs/>
                <w:sz w:val="18"/>
                <w:szCs w:val="18"/>
              </w:rPr>
            </w:pPr>
          </w:p>
        </w:tc>
        <w:tc>
          <w:tcPr>
            <w:tcW w:w="386" w:type="pct"/>
            <w:vMerge w:val="continue"/>
            <w:noWrap w:val="0"/>
            <w:vAlign w:val="center"/>
          </w:tcPr>
          <w:p>
            <w:pPr>
              <w:jc w:val="center"/>
              <w:rPr>
                <w:rFonts w:hint="eastAsia" w:ascii="宋体" w:hAnsi="宋体" w:eastAsia="宋体" w:cs="宋体"/>
                <w:b/>
                <w:bCs/>
                <w:sz w:val="18"/>
                <w:szCs w:val="18"/>
              </w:rPr>
            </w:pPr>
          </w:p>
        </w:tc>
        <w:tc>
          <w:tcPr>
            <w:tcW w:w="463" w:type="pct"/>
            <w:vMerge w:val="continue"/>
            <w:noWrap w:val="0"/>
            <w:vAlign w:val="center"/>
          </w:tcPr>
          <w:p>
            <w:pPr>
              <w:jc w:val="center"/>
              <w:rPr>
                <w:rFonts w:hint="eastAsia" w:ascii="宋体" w:hAnsi="宋体" w:eastAsia="宋体" w:cs="宋体"/>
                <w:b/>
                <w:bCs/>
                <w:sz w:val="18"/>
                <w:szCs w:val="18"/>
              </w:rPr>
            </w:pPr>
          </w:p>
        </w:tc>
        <w:tc>
          <w:tcPr>
            <w:tcW w:w="978" w:type="pct"/>
            <w:gridSpan w:val="3"/>
            <w:tcBorders>
              <w:bottom w:val="nil"/>
            </w:tcBorders>
            <w:noWrap w:val="0"/>
            <w:vAlign w:val="center"/>
          </w:tcPr>
          <w:p>
            <w:pPr>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数量</w:t>
            </w:r>
          </w:p>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lang w:eastAsia="zh-CN"/>
              </w:rPr>
              <w:t>（个）</w:t>
            </w:r>
          </w:p>
        </w:tc>
        <w:tc>
          <w:tcPr>
            <w:tcW w:w="978" w:type="pct"/>
            <w:gridSpan w:val="3"/>
            <w:tcBorders>
              <w:bottom w:val="nil"/>
            </w:tcBorders>
            <w:noWrap w:val="0"/>
            <w:vAlign w:val="center"/>
          </w:tcPr>
          <w:p>
            <w:pPr>
              <w:rPr>
                <w:rFonts w:hint="eastAsia" w:ascii="宋体" w:hAnsi="宋体" w:eastAsia="宋体" w:cs="宋体"/>
                <w:b/>
                <w:bCs/>
                <w:sz w:val="18"/>
                <w:szCs w:val="18"/>
              </w:rPr>
            </w:pPr>
            <w:r>
              <w:rPr>
                <w:rFonts w:hint="eastAsia" w:ascii="宋体" w:hAnsi="宋体" w:eastAsia="宋体" w:cs="宋体"/>
                <w:b/>
                <w:bCs/>
                <w:sz w:val="18"/>
                <w:szCs w:val="18"/>
              </w:rPr>
              <w:t>设计开采规模（万吨）</w:t>
            </w:r>
          </w:p>
        </w:tc>
        <w:tc>
          <w:tcPr>
            <w:tcW w:w="851" w:type="pct"/>
            <w:gridSpan w:val="3"/>
            <w:tcBorders>
              <w:bottom w:val="nil"/>
            </w:tcBorders>
            <w:noWrap w:val="0"/>
            <w:vAlign w:val="center"/>
          </w:tcPr>
          <w:p>
            <w:pPr>
              <w:jc w:val="center"/>
              <w:rPr>
                <w:rFonts w:hint="eastAsia" w:ascii="宋体" w:hAnsi="宋体" w:eastAsia="宋体" w:cs="宋体"/>
                <w:b/>
                <w:bCs/>
                <w:sz w:val="18"/>
                <w:szCs w:val="18"/>
              </w:rPr>
            </w:pPr>
            <w:r>
              <w:rPr>
                <w:rFonts w:hint="eastAsia" w:ascii="宋体" w:hAnsi="宋体" w:eastAsia="宋体" w:cs="宋体"/>
                <w:b/>
                <w:bCs/>
                <w:kern w:val="0"/>
                <w:sz w:val="18"/>
                <w:szCs w:val="18"/>
              </w:rPr>
              <w:t>面积</w:t>
            </w:r>
          </w:p>
        </w:tc>
        <w:tc>
          <w:tcPr>
            <w:tcW w:w="361" w:type="pct"/>
            <w:vMerge w:val="restart"/>
            <w:noWrap w:val="0"/>
            <w:vAlign w:val="center"/>
          </w:tcPr>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单位</w:t>
            </w:r>
            <w:r>
              <w:rPr>
                <w:rFonts w:hint="eastAsia" w:ascii="宋体" w:hAnsi="宋体" w:eastAsia="宋体" w:cs="宋体"/>
                <w:b/>
                <w:bCs/>
                <w:kern w:val="0"/>
                <w:sz w:val="18"/>
                <w:szCs w:val="18"/>
                <w:lang w:eastAsia="zh-CN"/>
              </w:rPr>
              <w:t>（万吨）</w:t>
            </w:r>
          </w:p>
        </w:tc>
        <w:tc>
          <w:tcPr>
            <w:tcW w:w="359" w:type="pct"/>
            <w:vMerge w:val="restart"/>
            <w:noWrap w:val="0"/>
            <w:vAlign w:val="center"/>
          </w:tcPr>
          <w:p>
            <w:pPr>
              <w:adjustRightInd w:val="0"/>
              <w:snapToGrid w:val="0"/>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64" w:type="pct"/>
            <w:vMerge w:val="continue"/>
            <w:noWrap w:val="0"/>
            <w:vAlign w:val="center"/>
          </w:tcPr>
          <w:p>
            <w:pPr>
              <w:jc w:val="center"/>
              <w:rPr>
                <w:rFonts w:hint="eastAsia" w:ascii="宋体" w:hAnsi="宋体" w:eastAsia="宋体" w:cs="宋体"/>
                <w:sz w:val="18"/>
                <w:szCs w:val="18"/>
              </w:rPr>
            </w:pPr>
          </w:p>
        </w:tc>
        <w:tc>
          <w:tcPr>
            <w:tcW w:w="254" w:type="pct"/>
            <w:vMerge w:val="continue"/>
            <w:noWrap w:val="0"/>
            <w:vAlign w:val="center"/>
          </w:tcPr>
          <w:p>
            <w:pPr>
              <w:jc w:val="center"/>
              <w:rPr>
                <w:rFonts w:hint="eastAsia" w:ascii="宋体" w:hAnsi="宋体" w:eastAsia="宋体" w:cs="宋体"/>
                <w:sz w:val="18"/>
                <w:szCs w:val="18"/>
              </w:rPr>
            </w:pPr>
          </w:p>
        </w:tc>
        <w:tc>
          <w:tcPr>
            <w:tcW w:w="386" w:type="pct"/>
            <w:vMerge w:val="continue"/>
            <w:noWrap w:val="0"/>
            <w:vAlign w:val="center"/>
          </w:tcPr>
          <w:p>
            <w:pPr>
              <w:jc w:val="center"/>
              <w:rPr>
                <w:rFonts w:hint="eastAsia" w:ascii="宋体" w:hAnsi="宋体" w:eastAsia="宋体" w:cs="宋体"/>
                <w:sz w:val="18"/>
                <w:szCs w:val="18"/>
              </w:rPr>
            </w:pPr>
          </w:p>
        </w:tc>
        <w:tc>
          <w:tcPr>
            <w:tcW w:w="463" w:type="pct"/>
            <w:vMerge w:val="continue"/>
            <w:noWrap w:val="0"/>
            <w:vAlign w:val="center"/>
          </w:tcPr>
          <w:p>
            <w:pPr>
              <w:jc w:val="center"/>
              <w:rPr>
                <w:rFonts w:hint="eastAsia" w:ascii="宋体" w:hAnsi="宋体" w:eastAsia="宋体" w:cs="宋体"/>
                <w:sz w:val="18"/>
                <w:szCs w:val="18"/>
              </w:rPr>
            </w:pPr>
          </w:p>
        </w:tc>
        <w:tc>
          <w:tcPr>
            <w:tcW w:w="271" w:type="pct"/>
            <w:tcBorders>
              <w:top w:val="nil"/>
            </w:tcBorders>
            <w:noWrap w:val="0"/>
            <w:vAlign w:val="center"/>
          </w:tcPr>
          <w:p>
            <w:pPr>
              <w:widowControl/>
              <w:adjustRightInd w:val="0"/>
              <w:snapToGrid w:val="0"/>
              <w:jc w:val="center"/>
              <w:rPr>
                <w:rFonts w:hint="eastAsia" w:ascii="宋体" w:hAnsi="宋体" w:eastAsia="宋体" w:cs="宋体"/>
                <w:kern w:val="0"/>
                <w:sz w:val="18"/>
                <w:szCs w:val="18"/>
              </w:rPr>
            </w:pPr>
          </w:p>
        </w:tc>
        <w:tc>
          <w:tcPr>
            <w:tcW w:w="364" w:type="pct"/>
            <w:tcBorders>
              <w:top w:val="single" w:color="auto" w:sz="4" w:space="0"/>
            </w:tcBorders>
            <w:noWrap w:val="0"/>
            <w:vAlign w:val="center"/>
          </w:tcPr>
          <w:p>
            <w:pPr>
              <w:widowControl/>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其中：大中型</w:t>
            </w:r>
          </w:p>
        </w:tc>
        <w:tc>
          <w:tcPr>
            <w:tcW w:w="342" w:type="pct"/>
            <w:tcBorders>
              <w:top w:val="single" w:color="auto" w:sz="4" w:space="0"/>
            </w:tcBorders>
            <w:noWrap w:val="0"/>
            <w:vAlign w:val="center"/>
          </w:tcPr>
          <w:p>
            <w:pPr>
              <w:widowControl/>
              <w:adjustRightInd w:val="0"/>
              <w:snapToGrid w:val="0"/>
              <w:rPr>
                <w:rFonts w:hint="eastAsia" w:ascii="宋体" w:hAnsi="宋体" w:eastAsia="宋体" w:cs="宋体"/>
                <w:b/>
                <w:bCs/>
                <w:kern w:val="0"/>
                <w:sz w:val="18"/>
                <w:szCs w:val="18"/>
              </w:rPr>
            </w:pPr>
            <w:r>
              <w:rPr>
                <w:rFonts w:hint="eastAsia" w:ascii="宋体" w:hAnsi="宋体" w:eastAsia="宋体" w:cs="宋体"/>
                <w:b/>
                <w:bCs/>
                <w:kern w:val="0"/>
                <w:sz w:val="18"/>
                <w:szCs w:val="18"/>
              </w:rPr>
              <w:t>其中：</w:t>
            </w:r>
          </w:p>
          <w:p>
            <w:pPr>
              <w:widowControl/>
              <w:adjustRightInd w:val="0"/>
              <w:snapToGrid w:val="0"/>
              <w:rPr>
                <w:rFonts w:hint="eastAsia" w:ascii="宋体" w:hAnsi="宋体" w:eastAsia="宋体" w:cs="宋体"/>
                <w:b/>
                <w:bCs/>
                <w:kern w:val="0"/>
                <w:sz w:val="18"/>
                <w:szCs w:val="18"/>
              </w:rPr>
            </w:pPr>
            <w:r>
              <w:rPr>
                <w:rFonts w:hint="eastAsia" w:ascii="宋体" w:hAnsi="宋体" w:eastAsia="宋体" w:cs="宋体"/>
                <w:b/>
                <w:bCs/>
                <w:kern w:val="0"/>
                <w:sz w:val="18"/>
                <w:szCs w:val="18"/>
              </w:rPr>
              <w:t>新设</w:t>
            </w:r>
          </w:p>
        </w:tc>
        <w:tc>
          <w:tcPr>
            <w:tcW w:w="304" w:type="pct"/>
            <w:tcBorders>
              <w:top w:val="nil"/>
            </w:tcBorders>
            <w:noWrap w:val="0"/>
            <w:vAlign w:val="center"/>
          </w:tcPr>
          <w:p>
            <w:pPr>
              <w:widowControl/>
              <w:adjustRightInd w:val="0"/>
              <w:snapToGrid w:val="0"/>
              <w:jc w:val="center"/>
              <w:rPr>
                <w:rFonts w:hint="eastAsia" w:ascii="宋体" w:hAnsi="宋体" w:eastAsia="宋体" w:cs="宋体"/>
                <w:b/>
                <w:bCs/>
                <w:sz w:val="18"/>
                <w:szCs w:val="18"/>
              </w:rPr>
            </w:pPr>
          </w:p>
        </w:tc>
        <w:tc>
          <w:tcPr>
            <w:tcW w:w="331" w:type="pct"/>
            <w:tcBorders>
              <w:top w:val="single" w:color="auto" w:sz="4" w:space="0"/>
            </w:tcBorders>
            <w:noWrap w:val="0"/>
            <w:vAlign w:val="center"/>
          </w:tcPr>
          <w:p>
            <w:pPr>
              <w:widowControl/>
              <w:adjustRightInd w:val="0"/>
              <w:snapToGrid w:val="0"/>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其中：大中型 </w:t>
            </w:r>
          </w:p>
        </w:tc>
        <w:tc>
          <w:tcPr>
            <w:tcW w:w="342" w:type="pct"/>
            <w:tcBorders>
              <w:top w:val="single" w:color="auto" w:sz="4" w:space="0"/>
            </w:tcBorders>
            <w:noWrap w:val="0"/>
            <w:vAlign w:val="center"/>
          </w:tcPr>
          <w:p>
            <w:pPr>
              <w:widowControl/>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其中：新设</w:t>
            </w:r>
          </w:p>
        </w:tc>
        <w:tc>
          <w:tcPr>
            <w:tcW w:w="232" w:type="pct"/>
            <w:tcBorders>
              <w:top w:val="nil"/>
            </w:tcBorders>
            <w:noWrap w:val="0"/>
            <w:vAlign w:val="center"/>
          </w:tcPr>
          <w:p>
            <w:pPr>
              <w:widowControl/>
              <w:adjustRightInd w:val="0"/>
              <w:snapToGrid w:val="0"/>
              <w:jc w:val="center"/>
              <w:rPr>
                <w:rFonts w:hint="eastAsia" w:ascii="宋体" w:hAnsi="宋体" w:eastAsia="宋体" w:cs="宋体"/>
                <w:b/>
                <w:bCs/>
                <w:kern w:val="0"/>
                <w:sz w:val="18"/>
                <w:szCs w:val="18"/>
              </w:rPr>
            </w:pPr>
          </w:p>
        </w:tc>
        <w:tc>
          <w:tcPr>
            <w:tcW w:w="364" w:type="pct"/>
            <w:tcBorders>
              <w:top w:val="single" w:color="auto" w:sz="4" w:space="0"/>
            </w:tcBorders>
            <w:noWrap w:val="0"/>
            <w:tcMar>
              <w:left w:w="0" w:type="dxa"/>
              <w:right w:w="0" w:type="dxa"/>
            </w:tcMar>
            <w:vAlign w:val="center"/>
          </w:tcPr>
          <w:p>
            <w:pPr>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其中：</w:t>
            </w:r>
          </w:p>
          <w:p>
            <w:pPr>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 xml:space="preserve">大中型 </w:t>
            </w:r>
          </w:p>
        </w:tc>
        <w:tc>
          <w:tcPr>
            <w:tcW w:w="254" w:type="pct"/>
            <w:tcBorders>
              <w:top w:val="single" w:color="auto" w:sz="4" w:space="0"/>
            </w:tcBorders>
            <w:noWrap w:val="0"/>
            <w:tcMar>
              <w:left w:w="0" w:type="dxa"/>
              <w:right w:w="0" w:type="dxa"/>
            </w:tcMar>
            <w:vAlign w:val="center"/>
          </w:tcPr>
          <w:p>
            <w:pPr>
              <w:widowControl/>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其中：</w:t>
            </w:r>
          </w:p>
          <w:p>
            <w:pPr>
              <w:widowControl/>
              <w:adjustRightInd w:val="0"/>
              <w:snapToGrid w:val="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新设</w:t>
            </w:r>
          </w:p>
        </w:tc>
        <w:tc>
          <w:tcPr>
            <w:tcW w:w="361" w:type="pct"/>
            <w:vMerge w:val="continue"/>
            <w:noWrap w:val="0"/>
            <w:vAlign w:val="center"/>
          </w:tcPr>
          <w:p>
            <w:pPr>
              <w:rPr>
                <w:rFonts w:hint="eastAsia" w:ascii="宋体" w:hAnsi="宋体" w:eastAsia="宋体" w:cs="宋体"/>
                <w:sz w:val="18"/>
                <w:szCs w:val="18"/>
              </w:rPr>
            </w:pPr>
          </w:p>
        </w:tc>
        <w:tc>
          <w:tcPr>
            <w:tcW w:w="359" w:type="pct"/>
            <w:vMerge w:val="continue"/>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364" w:type="pct"/>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集中开采区</w:t>
            </w:r>
            <w:r>
              <w:rPr>
                <w:rFonts w:hint="eastAsia" w:ascii="宋体" w:hAnsi="宋体" w:eastAsia="宋体" w:cs="宋体"/>
                <w:sz w:val="18"/>
                <w:szCs w:val="18"/>
                <w:lang w:val="en-US" w:eastAsia="zh-CN"/>
              </w:rPr>
              <w:t>1</w:t>
            </w:r>
          </w:p>
        </w:tc>
        <w:tc>
          <w:tcPr>
            <w:tcW w:w="254" w:type="pct"/>
            <w:noWrap w:val="0"/>
            <w:vAlign w:val="center"/>
          </w:tcPr>
          <w:p>
            <w:pPr>
              <w:jc w:val="center"/>
              <w:rPr>
                <w:rFonts w:hint="eastAsia" w:ascii="宋体" w:hAnsi="宋体" w:eastAsia="宋体" w:cs="宋体"/>
                <w:sz w:val="18"/>
                <w:szCs w:val="18"/>
                <w:lang w:eastAsia="zh-CN"/>
              </w:rPr>
            </w:pPr>
          </w:p>
        </w:tc>
        <w:tc>
          <w:tcPr>
            <w:tcW w:w="386" w:type="pct"/>
            <w:noWrap w:val="0"/>
            <w:vAlign w:val="center"/>
          </w:tcPr>
          <w:p>
            <w:pPr>
              <w:jc w:val="center"/>
              <w:rPr>
                <w:rFonts w:hint="eastAsia" w:ascii="宋体" w:hAnsi="宋体" w:eastAsia="宋体" w:cs="宋体"/>
                <w:sz w:val="18"/>
                <w:szCs w:val="18"/>
                <w:lang w:eastAsia="zh-CN"/>
              </w:rPr>
            </w:pPr>
          </w:p>
        </w:tc>
        <w:tc>
          <w:tcPr>
            <w:tcW w:w="463" w:type="pct"/>
            <w:noWrap w:val="0"/>
            <w:vAlign w:val="center"/>
          </w:tcPr>
          <w:p>
            <w:pPr>
              <w:jc w:val="center"/>
              <w:rPr>
                <w:rFonts w:hint="default" w:ascii="宋体" w:hAnsi="宋体" w:eastAsia="宋体" w:cs="宋体"/>
                <w:sz w:val="18"/>
                <w:szCs w:val="18"/>
              </w:rPr>
            </w:pPr>
            <w:r>
              <w:rPr>
                <w:rFonts w:hint="eastAsia" w:ascii="宋体" w:hAnsi="宋体" w:eastAsia="宋体" w:cs="宋体"/>
                <w:sz w:val="18"/>
                <w:szCs w:val="18"/>
                <w:lang w:eastAsia="zh-CN"/>
              </w:rPr>
              <w:t>规划中期</w:t>
            </w:r>
            <w:r>
              <w:rPr>
                <w:rFonts w:hint="eastAsia" w:ascii="宋体" w:hAnsi="宋体" w:eastAsia="宋体" w:cs="宋体"/>
                <w:sz w:val="18"/>
                <w:szCs w:val="18"/>
                <w:lang w:val="en-US" w:eastAsia="zh-CN"/>
              </w:rPr>
              <w:t>/终期（XX年）</w:t>
            </w:r>
          </w:p>
        </w:tc>
        <w:tc>
          <w:tcPr>
            <w:tcW w:w="271" w:type="pct"/>
            <w:noWrap w:val="0"/>
            <w:vAlign w:val="center"/>
          </w:tcPr>
          <w:p>
            <w:pPr>
              <w:rPr>
                <w:rFonts w:hint="eastAsia" w:ascii="宋体" w:hAnsi="宋体" w:eastAsia="宋体" w:cs="宋体"/>
                <w:sz w:val="18"/>
                <w:szCs w:val="18"/>
              </w:rPr>
            </w:pPr>
          </w:p>
        </w:tc>
        <w:tc>
          <w:tcPr>
            <w:tcW w:w="364" w:type="pct"/>
            <w:noWrap w:val="0"/>
            <w:vAlign w:val="center"/>
          </w:tcPr>
          <w:p>
            <w:pPr>
              <w:rPr>
                <w:rFonts w:hint="eastAsia" w:ascii="宋体" w:hAnsi="宋体" w:eastAsia="宋体" w:cs="宋体"/>
                <w:sz w:val="18"/>
                <w:szCs w:val="18"/>
              </w:rPr>
            </w:pPr>
          </w:p>
        </w:tc>
        <w:tc>
          <w:tcPr>
            <w:tcW w:w="342" w:type="pct"/>
            <w:noWrap w:val="0"/>
            <w:vAlign w:val="center"/>
          </w:tcPr>
          <w:p>
            <w:pPr>
              <w:rPr>
                <w:rFonts w:hint="eastAsia" w:ascii="宋体" w:hAnsi="宋体" w:eastAsia="宋体" w:cs="宋体"/>
                <w:sz w:val="18"/>
                <w:szCs w:val="18"/>
              </w:rPr>
            </w:pPr>
          </w:p>
        </w:tc>
        <w:tc>
          <w:tcPr>
            <w:tcW w:w="304" w:type="pct"/>
            <w:noWrap w:val="0"/>
            <w:vAlign w:val="center"/>
          </w:tcPr>
          <w:p>
            <w:pPr>
              <w:rPr>
                <w:rFonts w:hint="eastAsia" w:ascii="宋体" w:hAnsi="宋体" w:eastAsia="宋体" w:cs="宋体"/>
                <w:sz w:val="18"/>
                <w:szCs w:val="18"/>
              </w:rPr>
            </w:pPr>
          </w:p>
        </w:tc>
        <w:tc>
          <w:tcPr>
            <w:tcW w:w="331" w:type="pct"/>
            <w:noWrap w:val="0"/>
            <w:vAlign w:val="center"/>
          </w:tcPr>
          <w:p>
            <w:pPr>
              <w:rPr>
                <w:rFonts w:hint="eastAsia" w:ascii="宋体" w:hAnsi="宋体" w:eastAsia="宋体" w:cs="宋体"/>
                <w:sz w:val="18"/>
                <w:szCs w:val="18"/>
              </w:rPr>
            </w:pPr>
          </w:p>
        </w:tc>
        <w:tc>
          <w:tcPr>
            <w:tcW w:w="342" w:type="pct"/>
            <w:noWrap w:val="0"/>
            <w:vAlign w:val="center"/>
          </w:tcPr>
          <w:p>
            <w:pPr>
              <w:rPr>
                <w:rFonts w:hint="eastAsia" w:ascii="宋体" w:hAnsi="宋体" w:eastAsia="宋体" w:cs="宋体"/>
                <w:sz w:val="18"/>
                <w:szCs w:val="18"/>
              </w:rPr>
            </w:pPr>
          </w:p>
        </w:tc>
        <w:tc>
          <w:tcPr>
            <w:tcW w:w="232" w:type="pct"/>
            <w:noWrap w:val="0"/>
            <w:vAlign w:val="center"/>
          </w:tcPr>
          <w:p>
            <w:pPr>
              <w:rPr>
                <w:rFonts w:hint="eastAsia" w:ascii="宋体" w:hAnsi="宋体" w:eastAsia="宋体" w:cs="宋体"/>
                <w:sz w:val="18"/>
                <w:szCs w:val="18"/>
              </w:rPr>
            </w:pPr>
          </w:p>
        </w:tc>
        <w:tc>
          <w:tcPr>
            <w:tcW w:w="364" w:type="pct"/>
            <w:noWrap w:val="0"/>
            <w:vAlign w:val="center"/>
          </w:tcPr>
          <w:p>
            <w:pPr>
              <w:rPr>
                <w:rFonts w:hint="eastAsia" w:ascii="宋体" w:hAnsi="宋体" w:eastAsia="宋体" w:cs="宋体"/>
                <w:sz w:val="18"/>
                <w:szCs w:val="18"/>
              </w:rPr>
            </w:pPr>
          </w:p>
        </w:tc>
        <w:tc>
          <w:tcPr>
            <w:tcW w:w="254" w:type="pct"/>
            <w:noWrap w:val="0"/>
            <w:vAlign w:val="center"/>
          </w:tcPr>
          <w:p>
            <w:pPr>
              <w:rPr>
                <w:rFonts w:hint="eastAsia" w:ascii="宋体" w:hAnsi="宋体" w:eastAsia="宋体" w:cs="宋体"/>
                <w:sz w:val="18"/>
                <w:szCs w:val="18"/>
              </w:rPr>
            </w:pPr>
          </w:p>
        </w:tc>
        <w:tc>
          <w:tcPr>
            <w:tcW w:w="361" w:type="pct"/>
            <w:noWrap w:val="0"/>
            <w:vAlign w:val="center"/>
          </w:tcPr>
          <w:p>
            <w:pPr>
              <w:rPr>
                <w:rFonts w:hint="eastAsia" w:ascii="宋体" w:hAnsi="宋体" w:eastAsia="宋体" w:cs="宋体"/>
                <w:sz w:val="18"/>
                <w:szCs w:val="18"/>
              </w:rPr>
            </w:pPr>
          </w:p>
        </w:tc>
        <w:tc>
          <w:tcPr>
            <w:tcW w:w="359" w:type="pct"/>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4" w:type="pct"/>
            <w:noWrap w:val="0"/>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集中开采区</w:t>
            </w:r>
            <w:r>
              <w:rPr>
                <w:rFonts w:hint="eastAsia" w:ascii="宋体" w:hAnsi="宋体" w:eastAsia="宋体" w:cs="宋体"/>
                <w:sz w:val="18"/>
                <w:szCs w:val="18"/>
                <w:lang w:val="en-US" w:eastAsia="zh-CN"/>
              </w:rPr>
              <w:t>2</w:t>
            </w:r>
          </w:p>
        </w:tc>
        <w:tc>
          <w:tcPr>
            <w:tcW w:w="254" w:type="pct"/>
            <w:noWrap w:val="0"/>
            <w:vAlign w:val="center"/>
          </w:tcPr>
          <w:p>
            <w:pPr>
              <w:jc w:val="center"/>
              <w:rPr>
                <w:rFonts w:hint="eastAsia" w:ascii="宋体" w:hAnsi="宋体" w:eastAsia="宋体" w:cs="宋体"/>
                <w:sz w:val="18"/>
                <w:szCs w:val="18"/>
                <w:lang w:eastAsia="zh-CN"/>
              </w:rPr>
            </w:pPr>
          </w:p>
        </w:tc>
        <w:tc>
          <w:tcPr>
            <w:tcW w:w="386" w:type="pct"/>
            <w:noWrap w:val="0"/>
            <w:vAlign w:val="center"/>
          </w:tcPr>
          <w:p>
            <w:pPr>
              <w:jc w:val="center"/>
              <w:rPr>
                <w:rFonts w:hint="eastAsia" w:ascii="宋体" w:hAnsi="宋体" w:eastAsia="宋体" w:cs="宋体"/>
                <w:sz w:val="18"/>
                <w:szCs w:val="18"/>
                <w:lang w:eastAsia="zh-CN"/>
              </w:rPr>
            </w:pPr>
          </w:p>
        </w:tc>
        <w:tc>
          <w:tcPr>
            <w:tcW w:w="463" w:type="pc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规划中期</w:t>
            </w:r>
            <w:r>
              <w:rPr>
                <w:rFonts w:hint="eastAsia" w:ascii="宋体" w:hAnsi="宋体" w:eastAsia="宋体" w:cs="宋体"/>
                <w:sz w:val="18"/>
                <w:szCs w:val="18"/>
                <w:lang w:val="en-US" w:eastAsia="zh-CN"/>
              </w:rPr>
              <w:t>/终期（XX年）</w:t>
            </w:r>
          </w:p>
        </w:tc>
        <w:tc>
          <w:tcPr>
            <w:tcW w:w="271" w:type="pct"/>
            <w:noWrap w:val="0"/>
            <w:vAlign w:val="center"/>
          </w:tcPr>
          <w:p>
            <w:pPr>
              <w:rPr>
                <w:rFonts w:hint="eastAsia" w:ascii="宋体" w:hAnsi="宋体" w:eastAsia="宋体" w:cs="宋体"/>
                <w:sz w:val="18"/>
                <w:szCs w:val="18"/>
              </w:rPr>
            </w:pPr>
          </w:p>
        </w:tc>
        <w:tc>
          <w:tcPr>
            <w:tcW w:w="364" w:type="pct"/>
            <w:noWrap w:val="0"/>
            <w:vAlign w:val="center"/>
          </w:tcPr>
          <w:p>
            <w:pPr>
              <w:rPr>
                <w:rFonts w:hint="eastAsia" w:ascii="宋体" w:hAnsi="宋体" w:eastAsia="宋体" w:cs="宋体"/>
                <w:sz w:val="18"/>
                <w:szCs w:val="18"/>
              </w:rPr>
            </w:pPr>
          </w:p>
        </w:tc>
        <w:tc>
          <w:tcPr>
            <w:tcW w:w="342" w:type="pct"/>
            <w:noWrap w:val="0"/>
            <w:vAlign w:val="center"/>
          </w:tcPr>
          <w:p>
            <w:pPr>
              <w:rPr>
                <w:rFonts w:hint="eastAsia" w:ascii="宋体" w:hAnsi="宋体" w:eastAsia="宋体" w:cs="宋体"/>
                <w:sz w:val="18"/>
                <w:szCs w:val="18"/>
              </w:rPr>
            </w:pPr>
          </w:p>
        </w:tc>
        <w:tc>
          <w:tcPr>
            <w:tcW w:w="304" w:type="pct"/>
            <w:noWrap w:val="0"/>
            <w:vAlign w:val="center"/>
          </w:tcPr>
          <w:p>
            <w:pPr>
              <w:rPr>
                <w:rFonts w:hint="eastAsia" w:ascii="宋体" w:hAnsi="宋体" w:eastAsia="宋体" w:cs="宋体"/>
                <w:sz w:val="18"/>
                <w:szCs w:val="18"/>
              </w:rPr>
            </w:pPr>
          </w:p>
        </w:tc>
        <w:tc>
          <w:tcPr>
            <w:tcW w:w="331" w:type="pct"/>
            <w:noWrap w:val="0"/>
            <w:vAlign w:val="center"/>
          </w:tcPr>
          <w:p>
            <w:pPr>
              <w:rPr>
                <w:rFonts w:hint="eastAsia" w:ascii="宋体" w:hAnsi="宋体" w:eastAsia="宋体" w:cs="宋体"/>
                <w:sz w:val="18"/>
                <w:szCs w:val="18"/>
              </w:rPr>
            </w:pPr>
          </w:p>
        </w:tc>
        <w:tc>
          <w:tcPr>
            <w:tcW w:w="342" w:type="pct"/>
            <w:noWrap w:val="0"/>
            <w:vAlign w:val="center"/>
          </w:tcPr>
          <w:p>
            <w:pPr>
              <w:rPr>
                <w:rFonts w:hint="eastAsia" w:ascii="宋体" w:hAnsi="宋体" w:eastAsia="宋体" w:cs="宋体"/>
                <w:sz w:val="18"/>
                <w:szCs w:val="18"/>
              </w:rPr>
            </w:pPr>
          </w:p>
        </w:tc>
        <w:tc>
          <w:tcPr>
            <w:tcW w:w="232" w:type="pct"/>
            <w:noWrap w:val="0"/>
            <w:vAlign w:val="center"/>
          </w:tcPr>
          <w:p>
            <w:pPr>
              <w:rPr>
                <w:rFonts w:hint="eastAsia" w:ascii="宋体" w:hAnsi="宋体" w:eastAsia="宋体" w:cs="宋体"/>
                <w:sz w:val="18"/>
                <w:szCs w:val="18"/>
              </w:rPr>
            </w:pPr>
          </w:p>
        </w:tc>
        <w:tc>
          <w:tcPr>
            <w:tcW w:w="364" w:type="pct"/>
            <w:noWrap w:val="0"/>
            <w:vAlign w:val="center"/>
          </w:tcPr>
          <w:p>
            <w:pPr>
              <w:rPr>
                <w:rFonts w:hint="eastAsia" w:ascii="宋体" w:hAnsi="宋体" w:eastAsia="宋体" w:cs="宋体"/>
                <w:sz w:val="18"/>
                <w:szCs w:val="18"/>
              </w:rPr>
            </w:pPr>
          </w:p>
        </w:tc>
        <w:tc>
          <w:tcPr>
            <w:tcW w:w="254" w:type="pct"/>
            <w:noWrap w:val="0"/>
            <w:vAlign w:val="center"/>
          </w:tcPr>
          <w:p>
            <w:pPr>
              <w:rPr>
                <w:rFonts w:hint="eastAsia" w:ascii="宋体" w:hAnsi="宋体" w:eastAsia="宋体" w:cs="宋体"/>
                <w:sz w:val="18"/>
                <w:szCs w:val="18"/>
              </w:rPr>
            </w:pPr>
          </w:p>
        </w:tc>
        <w:tc>
          <w:tcPr>
            <w:tcW w:w="361" w:type="pct"/>
            <w:noWrap w:val="0"/>
            <w:vAlign w:val="center"/>
          </w:tcPr>
          <w:p>
            <w:pPr>
              <w:rPr>
                <w:rFonts w:hint="eastAsia" w:ascii="宋体" w:hAnsi="宋体" w:eastAsia="宋体" w:cs="宋体"/>
                <w:sz w:val="18"/>
                <w:szCs w:val="18"/>
              </w:rPr>
            </w:pPr>
          </w:p>
        </w:tc>
        <w:tc>
          <w:tcPr>
            <w:tcW w:w="359" w:type="pct"/>
            <w:noWrap w:val="0"/>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00" w:type="pct"/>
            <w:gridSpan w:val="15"/>
            <w:noWrap w:val="0"/>
            <w:vAlign w:val="center"/>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default" w:ascii="宋体" w:hAnsi="宋体" w:eastAsia="宋体" w:cs="宋体"/>
                <w:sz w:val="18"/>
                <w:szCs w:val="18"/>
                <w:lang w:val="en-US" w:eastAsia="zh-CN"/>
              </w:rPr>
            </w:pPr>
            <w:r>
              <w:rPr>
                <w:rFonts w:hint="eastAsia" w:ascii="黑体" w:hAnsi="黑体" w:eastAsia="黑体" w:cs="黑体"/>
                <w:kern w:val="0"/>
                <w:sz w:val="18"/>
                <w:szCs w:val="18"/>
                <w:lang w:val="en-US" w:eastAsia="zh-CN" w:bidi="ar-SA"/>
              </w:rPr>
              <w:t>注：</w:t>
            </w:r>
            <w:r>
              <w:rPr>
                <w:rFonts w:hint="eastAsia" w:ascii="Times New Roman" w:hAnsi="Times New Roman" w:eastAsia="宋体" w:cs="Times New Roman"/>
                <w:kern w:val="0"/>
                <w:sz w:val="18"/>
                <w:szCs w:val="18"/>
                <w:lang w:val="en-US" w:eastAsia="zh-CN" w:bidi="ar-SA"/>
              </w:rPr>
              <w:t>所在行政区写到县级</w:t>
            </w:r>
            <w:r>
              <w:rPr>
                <w:rFonts w:hint="eastAsia" w:ascii="Times New Roman" w:hAnsi="Times New Roman" w:cs="Times New Roman"/>
                <w:lang w:val="en-US" w:eastAsia="zh-CN"/>
              </w:rPr>
              <w:t>行政区</w:t>
            </w:r>
            <w:r>
              <w:rPr>
                <w:rFonts w:hint="eastAsia" w:ascii="Times New Roman" w:cs="Times New Roman"/>
                <w:lang w:val="en-US" w:eastAsia="zh-CN"/>
              </w:rPr>
              <w:t>。</w:t>
            </w:r>
          </w:p>
        </w:tc>
      </w:tr>
    </w:tbl>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0" w:beforeLines="0" w:after="156"/>
        <w:ind w:left="0" w:leftChars="0" w:firstLine="420" w:firstLineChars="200"/>
        <w:jc w:val="both"/>
        <w:textAlignment w:val="auto"/>
        <w:outlineLvl w:val="9"/>
        <w:rPr>
          <w:rFonts w:hint="eastAsia" w:ascii="宋体" w:hAnsi="宋体" w:eastAsia="宋体" w:cs="宋体"/>
          <w:b w:val="0"/>
          <w:bCs w:val="0"/>
          <w:color w:val="auto"/>
          <w:kern w:val="0"/>
          <w:sz w:val="21"/>
          <w:szCs w:val="22"/>
          <w:lang w:val="en-US" w:eastAsia="zh-CN" w:bidi="ar-SA"/>
        </w:rPr>
      </w:pPr>
      <w:r>
        <w:rPr>
          <w:rFonts w:hint="eastAsia" w:hAnsi="宋体" w:cs="宋体"/>
          <w:b w:val="0"/>
          <w:bCs w:val="0"/>
          <w:color w:val="auto"/>
          <w:kern w:val="0"/>
          <w:sz w:val="21"/>
          <w:szCs w:val="22"/>
          <w:lang w:val="en-US" w:eastAsia="zh-CN" w:bidi="ar-SA"/>
        </w:rPr>
        <w:t>新立探矿权一览表</w:t>
      </w:r>
      <w:r>
        <w:rPr>
          <w:rFonts w:hint="eastAsia" w:ascii="宋体" w:hAnsi="宋体" w:eastAsia="宋体" w:cs="宋体"/>
          <w:b w:val="0"/>
          <w:bCs w:val="0"/>
          <w:color w:val="auto"/>
          <w:kern w:val="0"/>
          <w:sz w:val="21"/>
          <w:szCs w:val="22"/>
          <w:lang w:val="en-US" w:eastAsia="zh-CN" w:bidi="ar-SA"/>
        </w:rPr>
        <w:t>填写内容和要求见表</w:t>
      </w:r>
      <w:r>
        <w:rPr>
          <w:rFonts w:hint="eastAsia" w:hAnsi="宋体" w:cs="宋体"/>
          <w:b w:val="0"/>
          <w:bCs w:val="0"/>
          <w:color w:val="auto"/>
          <w:kern w:val="0"/>
          <w:sz w:val="21"/>
          <w:szCs w:val="22"/>
          <w:lang w:val="en-US" w:eastAsia="zh-CN" w:bidi="ar-SA"/>
        </w:rPr>
        <w:t>B</w:t>
      </w:r>
      <w:r>
        <w:rPr>
          <w:rFonts w:hint="eastAsia" w:ascii="宋体" w:hAnsi="宋体" w:eastAsia="宋体" w:cs="宋体"/>
          <w:b w:val="0"/>
          <w:bCs w:val="0"/>
          <w:color w:val="auto"/>
          <w:kern w:val="0"/>
          <w:sz w:val="21"/>
          <w:szCs w:val="22"/>
          <w:lang w:val="en-US" w:eastAsia="zh-CN" w:bidi="ar-SA"/>
        </w:rPr>
        <w:t>.</w:t>
      </w:r>
      <w:r>
        <w:rPr>
          <w:rFonts w:hint="eastAsia" w:hAnsi="宋体" w:cs="宋体"/>
          <w:b w:val="0"/>
          <w:bCs w:val="0"/>
          <w:color w:val="auto"/>
          <w:kern w:val="0"/>
          <w:sz w:val="21"/>
          <w:szCs w:val="22"/>
          <w:lang w:val="en-US" w:eastAsia="zh-CN" w:bidi="ar-SA"/>
        </w:rPr>
        <w:t>8</w:t>
      </w:r>
      <w:r>
        <w:rPr>
          <w:rFonts w:hint="eastAsia" w:ascii="宋体" w:hAnsi="宋体" w:eastAsia="宋体" w:cs="宋体"/>
          <w:b w:val="0"/>
          <w:bCs w:val="0"/>
          <w:color w:val="auto"/>
          <w:kern w:val="0"/>
          <w:sz w:val="21"/>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Chars="200"/>
        <w:jc w:val="center"/>
        <w:textAlignment w:val="auto"/>
        <w:outlineLvl w:val="9"/>
        <w:rPr>
          <w:rFonts w:hint="eastAsia" w:ascii="宋体" w:hAnsi="宋体" w:eastAsia="宋体" w:cs="宋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附表B.8 新立探矿权一览表</w:t>
      </w:r>
    </w:p>
    <w:tbl>
      <w:tblPr>
        <w:tblStyle w:val="28"/>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05"/>
        <w:gridCol w:w="1026"/>
        <w:gridCol w:w="782"/>
        <w:gridCol w:w="1018"/>
        <w:gridCol w:w="1126"/>
        <w:gridCol w:w="1011"/>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所在行政区</w:t>
            </w: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许可证号</w:t>
            </w: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项目名称</w:t>
            </w: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矿种</w:t>
            </w:r>
          </w:p>
        </w:tc>
        <w:tc>
          <w:tcPr>
            <w:tcW w:w="10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面积（km</w:t>
            </w:r>
            <w:r>
              <w:rPr>
                <w:rFonts w:hint="eastAsia" w:ascii="宋体" w:hAnsi="宋体" w:eastAsia="宋体" w:cs="宋体"/>
                <w:b/>
                <w:bCs/>
                <w:color w:val="auto"/>
                <w:kern w:val="0"/>
                <w:sz w:val="18"/>
                <w:szCs w:val="20"/>
                <w:vertAlign w:val="superscript"/>
                <w:lang w:val="en-US" w:eastAsia="zh-CN" w:bidi="ar-SA"/>
              </w:rPr>
              <w:t>2</w:t>
            </w:r>
            <w:r>
              <w:rPr>
                <w:rFonts w:hint="eastAsia" w:ascii="宋体" w:hAnsi="宋体" w:eastAsia="宋体" w:cs="宋体"/>
                <w:b/>
                <w:bCs/>
                <w:color w:val="auto"/>
                <w:kern w:val="0"/>
                <w:sz w:val="18"/>
                <w:szCs w:val="20"/>
                <w:vertAlign w:val="baseline"/>
                <w:lang w:val="en-US" w:eastAsia="zh-CN" w:bidi="ar-SA"/>
              </w:rPr>
              <w:t>）</w:t>
            </w:r>
          </w:p>
        </w:tc>
        <w:tc>
          <w:tcPr>
            <w:tcW w:w="11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勘查程度</w:t>
            </w:r>
          </w:p>
        </w:tc>
        <w:tc>
          <w:tcPr>
            <w:tcW w:w="10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新立时间</w:t>
            </w:r>
          </w:p>
        </w:tc>
        <w:tc>
          <w:tcPr>
            <w:tcW w:w="14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勘查规划区块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b w:val="0"/>
                <w:bCs w:val="0"/>
                <w:color w:val="auto"/>
                <w:kern w:val="0"/>
                <w:sz w:val="18"/>
                <w:szCs w:val="20"/>
                <w:vertAlign w:val="baseline"/>
                <w:lang w:val="en-US" w:eastAsia="zh-CN" w:bidi="ar-SA"/>
              </w:rPr>
            </w:pP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1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4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b w:val="0"/>
                <w:bCs w:val="0"/>
                <w:color w:val="auto"/>
                <w:kern w:val="0"/>
                <w:sz w:val="18"/>
                <w:szCs w:val="20"/>
                <w:vertAlign w:val="baseline"/>
                <w:lang w:val="en-US" w:eastAsia="zh-CN" w:bidi="ar-SA"/>
              </w:rPr>
            </w:pPr>
            <w:bookmarkStart w:id="147" w:name="_GoBack" w:colFirst="3" w:colLast="3"/>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1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4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bookmarkEnd w:id="1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1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4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80" w:hRule="atLeast"/>
          <w:jc w:val="center"/>
        </w:trPr>
        <w:tc>
          <w:tcPr>
            <w:tcW w:w="8628" w:type="dxa"/>
            <w:gridSpan w:val="8"/>
            <w:noWrap w:val="0"/>
            <w:vAlign w:val="top"/>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897" w:leftChars="170" w:hanging="540" w:hangingChars="300"/>
              <w:textAlignment w:val="auto"/>
              <w:rPr>
                <w:rFonts w:hint="eastAsia" w:ascii="Times New Roman" w:hAnsi="Times New Roman" w:cs="Times New Roman"/>
                <w:lang w:val="en-US" w:eastAsia="zh-CN"/>
              </w:rPr>
            </w:pPr>
            <w:r>
              <w:rPr>
                <w:rFonts w:hint="eastAsia" w:ascii="黑体" w:hAnsi="黑体" w:eastAsia="黑体" w:cs="黑体"/>
                <w:lang w:val="en-US" w:eastAsia="zh-CN"/>
              </w:rPr>
              <w:t>注1：</w:t>
            </w:r>
            <w:r>
              <w:rPr>
                <w:rFonts w:hint="eastAsia" w:ascii="Times New Roman" w:hAnsi="Times New Roman" w:cs="Times New Roman"/>
                <w:lang w:val="en-US" w:eastAsia="zh-CN"/>
              </w:rPr>
              <w:t>省级规划实施评估只需统计本级发证矿种探矿权，市级规划应统计规划区内省级与市级发证矿种</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firstLine="448"/>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探矿权，县级规划应统计规划区内省、市、县发证所有矿种探矿权。</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Times New Roman" w:hAnsi="Times New Roman" w:cs="Times New Roman"/>
                <w:lang w:val="en-US" w:eastAsia="zh-CN"/>
              </w:rPr>
            </w:pPr>
            <w:r>
              <w:rPr>
                <w:rFonts w:hint="eastAsia" w:ascii="黑体" w:hAnsi="黑体" w:eastAsia="黑体" w:cs="黑体"/>
                <w:lang w:val="en-US" w:eastAsia="zh-CN"/>
              </w:rPr>
              <w:t>注2：</w:t>
            </w:r>
            <w:r>
              <w:rPr>
                <w:rFonts w:hint="eastAsia" w:ascii="Times New Roman" w:hAnsi="Times New Roman" w:cs="Times New Roman"/>
                <w:lang w:val="en-US" w:eastAsia="zh-CN"/>
              </w:rPr>
              <w:t>在勘查规划区块一列填入“属于”或“不属于”。</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leftChars="0"/>
              <w:textAlignment w:val="auto"/>
              <w:rPr>
                <w:rFonts w:hint="eastAsia" w:ascii="宋体" w:hAnsi="宋体" w:eastAsia="宋体" w:cs="宋体"/>
                <w:b w:val="0"/>
                <w:bCs w:val="0"/>
                <w:color w:val="auto"/>
                <w:kern w:val="0"/>
                <w:sz w:val="18"/>
                <w:szCs w:val="20"/>
                <w:vertAlign w:val="baseline"/>
                <w:lang w:val="en-US" w:eastAsia="zh-CN" w:bidi="ar-SA"/>
              </w:rPr>
            </w:pPr>
            <w:r>
              <w:rPr>
                <w:rFonts w:hint="eastAsia" w:ascii="黑体" w:hAnsi="黑体" w:eastAsia="黑体" w:cs="黑体"/>
                <w:lang w:val="en-US" w:eastAsia="zh-CN"/>
              </w:rPr>
              <w:t>注3：</w:t>
            </w:r>
            <w:r>
              <w:rPr>
                <w:rFonts w:hint="eastAsia" w:ascii="Times New Roman" w:hAnsi="Times New Roman" w:cs="Times New Roman"/>
                <w:lang w:val="en-US" w:eastAsia="zh-CN"/>
              </w:rPr>
              <w:t>新立探矿权与勘查规划区块存在空间重叠的代表属于勘查规划区块。</w:t>
            </w:r>
          </w:p>
        </w:tc>
      </w:tr>
    </w:tbl>
    <w:p>
      <w:pPr>
        <w:pStyle w:val="247"/>
        <w:keepNext w:val="0"/>
        <w:keepLines w:val="0"/>
        <w:pageBreakBefore w:val="0"/>
        <w:widowControl/>
        <w:kinsoku/>
        <w:wordWrap/>
        <w:overflowPunct/>
        <w:topLinePunct w:val="0"/>
        <w:autoSpaceDE/>
        <w:autoSpaceDN/>
        <w:bidi w:val="0"/>
        <w:adjustRightInd/>
        <w:snapToGrid/>
        <w:spacing w:beforeLines="0" w:after="156" w:line="240" w:lineRule="auto"/>
        <w:ind w:firstLine="420" w:firstLineChars="200"/>
        <w:jc w:val="both"/>
        <w:textAlignment w:val="auto"/>
        <w:outlineLvl w:val="9"/>
        <w:rPr>
          <w:rFonts w:hint="eastAsia" w:hAnsi="宋体" w:cs="宋体"/>
          <w:b w:val="0"/>
          <w:bCs w:val="0"/>
          <w:color w:val="auto"/>
          <w:kern w:val="0"/>
          <w:sz w:val="21"/>
          <w:szCs w:val="22"/>
          <w:lang w:val="en-US" w:eastAsia="zh-CN" w:bidi="ar-SA"/>
        </w:rPr>
      </w:pPr>
    </w:p>
    <w:p>
      <w:pPr>
        <w:pStyle w:val="247"/>
        <w:keepNext w:val="0"/>
        <w:keepLines w:val="0"/>
        <w:pageBreakBefore w:val="0"/>
        <w:widowControl/>
        <w:kinsoku/>
        <w:wordWrap/>
        <w:overflowPunct/>
        <w:topLinePunct w:val="0"/>
        <w:autoSpaceDE/>
        <w:autoSpaceDN/>
        <w:bidi w:val="0"/>
        <w:adjustRightInd/>
        <w:snapToGrid/>
        <w:spacing w:beforeLines="0" w:after="156" w:line="240" w:lineRule="auto"/>
        <w:ind w:firstLine="420" w:firstLineChars="200"/>
        <w:jc w:val="both"/>
        <w:textAlignment w:val="auto"/>
        <w:outlineLvl w:val="9"/>
        <w:rPr>
          <w:rFonts w:hint="eastAsia" w:ascii="黑体" w:hAnsi="黑体" w:eastAsia="黑体" w:cs="黑体"/>
          <w:b w:val="0"/>
          <w:bCs w:val="0"/>
          <w:color w:val="auto"/>
          <w:kern w:val="0"/>
          <w:sz w:val="21"/>
          <w:szCs w:val="22"/>
          <w:lang w:val="en-US" w:eastAsia="zh-CN" w:bidi="ar-SA"/>
        </w:rPr>
      </w:pPr>
      <w:r>
        <w:rPr>
          <w:rFonts w:hint="eastAsia" w:hAnsi="宋体" w:cs="宋体"/>
          <w:b w:val="0"/>
          <w:bCs w:val="0"/>
          <w:color w:val="auto"/>
          <w:kern w:val="0"/>
          <w:sz w:val="21"/>
          <w:szCs w:val="22"/>
          <w:lang w:val="en-US" w:eastAsia="zh-CN" w:bidi="ar-SA"/>
        </w:rPr>
        <w:t>新立采矿权一览表</w:t>
      </w:r>
      <w:r>
        <w:rPr>
          <w:rFonts w:hint="eastAsia" w:ascii="宋体" w:hAnsi="宋体" w:eastAsia="宋体" w:cs="宋体"/>
          <w:b w:val="0"/>
          <w:bCs w:val="0"/>
          <w:color w:val="auto"/>
          <w:kern w:val="0"/>
          <w:sz w:val="21"/>
          <w:szCs w:val="22"/>
          <w:lang w:val="en-US" w:eastAsia="zh-CN" w:bidi="ar-SA"/>
        </w:rPr>
        <w:t>填写内容和要求见表</w:t>
      </w:r>
      <w:r>
        <w:rPr>
          <w:rFonts w:hint="eastAsia" w:hAnsi="宋体" w:cs="宋体"/>
          <w:b w:val="0"/>
          <w:bCs w:val="0"/>
          <w:color w:val="auto"/>
          <w:kern w:val="0"/>
          <w:sz w:val="21"/>
          <w:szCs w:val="22"/>
          <w:lang w:val="en-US" w:eastAsia="zh-CN" w:bidi="ar-SA"/>
        </w:rPr>
        <w:t>B</w:t>
      </w:r>
      <w:r>
        <w:rPr>
          <w:rFonts w:hint="eastAsia" w:ascii="宋体" w:hAnsi="宋体" w:eastAsia="宋体" w:cs="宋体"/>
          <w:b w:val="0"/>
          <w:bCs w:val="0"/>
          <w:color w:val="auto"/>
          <w:kern w:val="0"/>
          <w:sz w:val="21"/>
          <w:szCs w:val="22"/>
          <w:lang w:val="en-US" w:eastAsia="zh-CN" w:bidi="ar-SA"/>
        </w:rPr>
        <w:t>.</w:t>
      </w:r>
      <w:r>
        <w:rPr>
          <w:rFonts w:hint="eastAsia" w:hAnsi="宋体" w:cs="宋体"/>
          <w:b w:val="0"/>
          <w:bCs w:val="0"/>
          <w:color w:val="auto"/>
          <w:kern w:val="0"/>
          <w:sz w:val="21"/>
          <w:szCs w:val="22"/>
          <w:lang w:val="en-US" w:eastAsia="zh-CN" w:bidi="ar-SA"/>
        </w:rPr>
        <w:t>9</w:t>
      </w:r>
      <w:r>
        <w:rPr>
          <w:rFonts w:hint="eastAsia" w:ascii="宋体" w:hAnsi="宋体" w:eastAsia="宋体" w:cs="宋体"/>
          <w:b w:val="0"/>
          <w:bCs w:val="0"/>
          <w:color w:val="auto"/>
          <w:kern w:val="0"/>
          <w:sz w:val="21"/>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val="0"/>
          <w:color w:val="auto"/>
          <w:kern w:val="0"/>
          <w:sz w:val="21"/>
          <w:szCs w:val="22"/>
          <w:lang w:val="en-US" w:eastAsia="zh-CN" w:bidi="ar-SA"/>
        </w:rPr>
      </w:pPr>
      <w:r>
        <w:rPr>
          <w:rFonts w:hint="eastAsia" w:ascii="黑体" w:hAnsi="黑体" w:eastAsia="黑体" w:cs="黑体"/>
          <w:b w:val="0"/>
          <w:bCs w:val="0"/>
          <w:color w:val="auto"/>
          <w:kern w:val="0"/>
          <w:sz w:val="21"/>
          <w:szCs w:val="22"/>
          <w:lang w:val="en-US" w:eastAsia="zh-CN" w:bidi="ar-SA"/>
        </w:rPr>
        <w:t>附表B.9 新立采矿权一览表</w:t>
      </w:r>
    </w:p>
    <w:tbl>
      <w:tblPr>
        <w:tblStyle w:val="28"/>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05"/>
        <w:gridCol w:w="1026"/>
        <w:gridCol w:w="671"/>
        <w:gridCol w:w="1089"/>
        <w:gridCol w:w="1375"/>
        <w:gridCol w:w="1062"/>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所在行政区</w:t>
            </w: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许可证号</w:t>
            </w: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矿山名称</w:t>
            </w:r>
          </w:p>
        </w:tc>
        <w:tc>
          <w:tcPr>
            <w:tcW w:w="6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矿种</w:t>
            </w:r>
          </w:p>
        </w:tc>
        <w:tc>
          <w:tcPr>
            <w:tcW w:w="108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面积（km</w:t>
            </w:r>
            <w:r>
              <w:rPr>
                <w:rFonts w:hint="eastAsia" w:ascii="宋体" w:hAnsi="宋体" w:eastAsia="宋体" w:cs="宋体"/>
                <w:b/>
                <w:bCs/>
                <w:color w:val="auto"/>
                <w:kern w:val="0"/>
                <w:sz w:val="18"/>
                <w:szCs w:val="20"/>
                <w:vertAlign w:val="superscript"/>
                <w:lang w:val="en-US" w:eastAsia="zh-CN" w:bidi="ar-SA"/>
              </w:rPr>
              <w:t>2</w:t>
            </w:r>
            <w:r>
              <w:rPr>
                <w:rFonts w:hint="eastAsia" w:ascii="宋体" w:hAnsi="宋体" w:eastAsia="宋体" w:cs="宋体"/>
                <w:b/>
                <w:bCs/>
                <w:color w:val="auto"/>
                <w:kern w:val="0"/>
                <w:sz w:val="18"/>
                <w:szCs w:val="20"/>
                <w:vertAlign w:val="baseline"/>
                <w:lang w:val="en-US" w:eastAsia="zh-CN" w:bidi="ar-SA"/>
              </w:rPr>
              <w:t>）</w:t>
            </w:r>
          </w:p>
        </w:tc>
        <w:tc>
          <w:tcPr>
            <w:tcW w:w="137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设计生产规模</w:t>
            </w: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新立时间</w:t>
            </w:r>
          </w:p>
        </w:tc>
        <w:tc>
          <w:tcPr>
            <w:tcW w:w="13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0"/>
                <w:sz w:val="18"/>
                <w:szCs w:val="20"/>
                <w:vertAlign w:val="baseline"/>
                <w:lang w:val="en-US" w:eastAsia="zh-CN" w:bidi="ar-SA"/>
              </w:rPr>
            </w:pPr>
            <w:r>
              <w:rPr>
                <w:rFonts w:hint="eastAsia" w:ascii="宋体" w:hAnsi="宋体" w:eastAsia="宋体" w:cs="宋体"/>
                <w:b/>
                <w:bCs/>
                <w:color w:val="auto"/>
                <w:kern w:val="0"/>
                <w:sz w:val="18"/>
                <w:szCs w:val="20"/>
                <w:vertAlign w:val="baseline"/>
                <w:lang w:val="en-US" w:eastAsia="zh-CN" w:bidi="ar-SA"/>
              </w:rPr>
              <w:t>开采规划区块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b w:val="0"/>
                <w:bCs w:val="0"/>
                <w:color w:val="auto"/>
                <w:kern w:val="0"/>
                <w:sz w:val="18"/>
                <w:szCs w:val="20"/>
                <w:vertAlign w:val="baseline"/>
                <w:lang w:val="en-US" w:eastAsia="zh-CN" w:bidi="ar-SA"/>
              </w:rPr>
            </w:pP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6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8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7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黑体" w:hAnsi="黑体" w:eastAsia="黑体" w:cs="黑体"/>
                <w:b w:val="0"/>
                <w:bCs w:val="0"/>
                <w:color w:val="auto"/>
                <w:kern w:val="0"/>
                <w:sz w:val="18"/>
                <w:szCs w:val="20"/>
                <w:vertAlign w:val="baseline"/>
                <w:lang w:val="en-US" w:eastAsia="zh-CN" w:bidi="ar-SA"/>
              </w:rPr>
            </w:pP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6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8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7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6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8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7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c>
          <w:tcPr>
            <w:tcW w:w="13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b w:val="0"/>
                <w:bCs w:val="0"/>
                <w:color w:val="auto"/>
                <w:kern w:val="0"/>
                <w:sz w:val="18"/>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gridSpan w:val="8"/>
            <w:noWrap w:val="0"/>
            <w:vAlign w:val="top"/>
          </w:tcPr>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897" w:leftChars="170" w:hanging="540" w:hangingChars="300"/>
              <w:textAlignment w:val="auto"/>
              <w:rPr>
                <w:rFonts w:hint="eastAsia" w:ascii="宋体" w:hAnsi="宋体" w:eastAsia="宋体" w:cs="宋体"/>
                <w:lang w:val="en-US" w:eastAsia="zh-CN"/>
              </w:rPr>
            </w:pPr>
            <w:r>
              <w:rPr>
                <w:rFonts w:hint="eastAsia" w:ascii="黑体" w:hAnsi="黑体" w:eastAsia="黑体" w:cs="黑体"/>
                <w:lang w:val="en-US" w:eastAsia="zh-CN"/>
              </w:rPr>
              <w:t>注1：</w:t>
            </w:r>
            <w:r>
              <w:rPr>
                <w:rFonts w:hint="eastAsia" w:ascii="宋体" w:hAnsi="宋体" w:eastAsia="宋体" w:cs="宋体"/>
                <w:lang w:val="en-US" w:eastAsia="zh-CN"/>
              </w:rPr>
              <w:t>省级规划实施评估只需统计本级发证矿种探矿权，市级规划应统计规划区内省级与市级发证矿种探</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363" w:firstLine="448"/>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矿权，县级规划应统计规划区内省、市、县发证所有矿种探矿权。</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897" w:leftChars="170" w:hanging="540" w:hangingChars="300"/>
              <w:textAlignment w:val="auto"/>
              <w:rPr>
                <w:rFonts w:hint="eastAsia" w:ascii="黑体" w:hAnsi="黑体" w:eastAsia="黑体" w:cs="黑体"/>
                <w:lang w:val="en-US" w:eastAsia="zh-CN"/>
              </w:rPr>
            </w:pPr>
            <w:r>
              <w:rPr>
                <w:rFonts w:hint="eastAsia" w:ascii="黑体" w:hAnsi="黑体" w:eastAsia="黑体" w:cs="黑体"/>
                <w:lang w:val="en-US" w:eastAsia="zh-CN"/>
              </w:rPr>
              <w:t>注2：</w:t>
            </w:r>
            <w:r>
              <w:rPr>
                <w:rFonts w:hint="eastAsia" w:ascii="宋体" w:hAnsi="宋体" w:eastAsia="宋体" w:cs="宋体"/>
                <w:lang w:val="en-US" w:eastAsia="zh-CN"/>
              </w:rPr>
              <w:t>在开采规划区块一列填入“属于”或“不属于”。</w:t>
            </w:r>
          </w:p>
          <w:p>
            <w:pPr>
              <w:pStyle w:val="183"/>
              <w:keepNext w:val="0"/>
              <w:keepLines w:val="0"/>
              <w:pageBreakBefore w:val="0"/>
              <w:widowControl w:val="0"/>
              <w:numPr>
                <w:ilvl w:val="0"/>
                <w:numId w:val="0"/>
              </w:numPr>
              <w:kinsoku/>
              <w:wordWrap/>
              <w:overflowPunct/>
              <w:topLinePunct w:val="0"/>
              <w:autoSpaceDE w:val="0"/>
              <w:autoSpaceDN w:val="0"/>
              <w:bidi w:val="0"/>
              <w:adjustRightInd/>
              <w:snapToGrid/>
              <w:ind w:left="897" w:leftChars="170" w:hanging="540" w:hangingChars="300"/>
              <w:textAlignment w:val="auto"/>
              <w:rPr>
                <w:rFonts w:hint="eastAsia" w:ascii="宋体" w:hAnsi="宋体" w:eastAsia="宋体" w:cs="宋体"/>
                <w:b w:val="0"/>
                <w:bCs w:val="0"/>
                <w:color w:val="auto"/>
                <w:kern w:val="0"/>
                <w:sz w:val="18"/>
                <w:szCs w:val="20"/>
                <w:vertAlign w:val="baseline"/>
                <w:lang w:val="en-US" w:eastAsia="zh-CN" w:bidi="ar-SA"/>
              </w:rPr>
            </w:pPr>
            <w:r>
              <w:rPr>
                <w:rFonts w:hint="eastAsia" w:ascii="黑体" w:hAnsi="黑体" w:eastAsia="黑体" w:cs="黑体"/>
                <w:lang w:val="en-US" w:eastAsia="zh-CN"/>
              </w:rPr>
              <w:t>注3：</w:t>
            </w:r>
            <w:r>
              <w:rPr>
                <w:rFonts w:hint="eastAsia" w:ascii="宋体" w:hAnsi="宋体" w:eastAsia="宋体" w:cs="宋体"/>
                <w:lang w:val="en-US" w:eastAsia="zh-CN"/>
              </w:rPr>
              <w:t>新立探矿权与勘查规划区块存在空间重叠的代表属于开采规划区块。</w:t>
            </w:r>
          </w:p>
        </w:tc>
      </w:tr>
    </w:tbl>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p>
      <w:pPr>
        <w:pStyle w:val="59"/>
        <w:rPr>
          <w:rFonts w:hint="eastAsia" w:ascii="Times New Roman" w:eastAsia="黑体" w:cs="Times New Roman"/>
          <w:b w:val="0"/>
          <w:bCs w:val="0"/>
          <w:color w:val="auto"/>
          <w:kern w:val="0"/>
          <w:sz w:val="21"/>
          <w:szCs w:val="22"/>
          <w:lang w:val="en-US" w:eastAsia="zh-CN" w:bidi="ar-SA"/>
        </w:rPr>
      </w:pPr>
    </w:p>
    <w:bookmarkEnd w:id="121"/>
    <w:p>
      <w:pPr>
        <w:pStyle w:val="66"/>
        <w:keepNext w:val="0"/>
        <w:keepLines w:val="0"/>
        <w:pageBreakBefore w:val="0"/>
        <w:widowControl/>
        <w:kinsoku/>
        <w:wordWrap/>
        <w:overflowPunct/>
        <w:topLinePunct w:val="0"/>
        <w:autoSpaceDE/>
        <w:autoSpaceDN/>
        <w:bidi w:val="0"/>
        <w:adjustRightInd/>
        <w:snapToGrid/>
        <w:spacing w:after="156"/>
        <w:textAlignment w:val="auto"/>
      </w:pPr>
      <w:bookmarkStart w:id="143" w:name="_Toc153272252"/>
      <w:bookmarkStart w:id="144" w:name="_Toc7544"/>
      <w:bookmarkStart w:id="145" w:name="_Toc27009"/>
      <w:bookmarkStart w:id="146" w:name="BookMark6"/>
      <w:r>
        <w:rPr>
          <w:rFonts w:hint="eastAsia"/>
          <w:spacing w:val="105"/>
        </w:rPr>
        <w:t>参考文</w:t>
      </w:r>
      <w:r>
        <w:rPr>
          <w:rFonts w:hint="eastAsia"/>
        </w:rPr>
        <w:t>献</w:t>
      </w:r>
      <w:bookmarkEnd w:id="143"/>
      <w:bookmarkEnd w:id="144"/>
      <w:bookmarkEnd w:id="145"/>
    </w:p>
    <w:bookmarkEnd w:id="146"/>
    <w:p>
      <w:pPr>
        <w:keepNext w:val="0"/>
        <w:keepLines w:val="0"/>
        <w:pageBreakBefore w:val="0"/>
        <w:widowControl/>
        <w:numPr>
          <w:ilvl w:val="0"/>
          <w:numId w:val="34"/>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《矿产资源规划编制实施办法》（中华人民共和国国土资源部令第55号）.2012年10月12日</w:t>
      </w:r>
    </w:p>
    <w:p>
      <w:pPr>
        <w:keepNext w:val="0"/>
        <w:keepLines w:val="0"/>
        <w:pageBreakBefore w:val="0"/>
        <w:widowControl/>
        <w:numPr>
          <w:ilvl w:val="0"/>
          <w:numId w:val="34"/>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b w:val="0"/>
          <w:bCs w:val="0"/>
          <w:color w:val="auto"/>
          <w:kern w:val="2"/>
          <w:sz w:val="21"/>
          <w:szCs w:val="22"/>
          <w:lang w:val="en-US" w:eastAsia="zh-CN" w:bidi="ar-SA"/>
        </w:rPr>
        <w:t>中华人民共和国自然资源部</w:t>
      </w:r>
      <w:r>
        <w:rPr>
          <w:rFonts w:hint="eastAsia" w:ascii="宋体" w:hAnsi="宋体" w:eastAsia="宋体" w:cs="宋体"/>
        </w:rPr>
        <w:t>自然资源部</w:t>
      </w:r>
      <w:r>
        <w:rPr>
          <w:rFonts w:hint="eastAsia" w:ascii="宋体" w:hAnsi="宋体" w:eastAsia="宋体" w:cs="宋体"/>
          <w:lang w:val="en-US" w:eastAsia="zh-CN"/>
        </w:rPr>
        <w:t>. 自然资源部</w:t>
      </w:r>
      <w:r>
        <w:rPr>
          <w:rFonts w:hint="eastAsia" w:ascii="宋体" w:hAnsi="宋体" w:eastAsia="宋体" w:cs="宋体"/>
        </w:rPr>
        <w:t>办公厅关于印发《省级矿产资源总体规划编制技术规程》和《市县级矿产资源总体规划编制要点》的通知（自然资办发〔2020〕19号）.2020年4月</w:t>
      </w:r>
      <w:r>
        <w:rPr>
          <w:rFonts w:hint="eastAsia" w:ascii="宋体" w:hAnsi="宋体" w:eastAsia="宋体" w:cs="宋体"/>
          <w:lang w:val="en-US" w:eastAsia="zh-CN"/>
        </w:rPr>
        <w:t>14日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[3] 陕西省自然资源厅. 《关于开展秦岭矿产资源开发专项规划实施情况调研和中期评估工作的通知》（陕自然资矿保发〔2023〕5号）. 2023年3月7日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[4] 陕西省自然资源厅. 《关于开展“十四五”矿产资源规划中期评估工作的通知》（陕自然资矿保发〔2023〕11号）. 2023年5月8日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[5] 自然资源部办公厅. 《关于征求〈矿产资源开发利用水平调查评估办法（试行）〉意见的函》（自然资办函〔2023〕1801号）. 2023年9月12日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[6] 自然资源部 生态环境部 财政部 国家市场监督管理总局 国家金融监督管理总局 中国证券监督管理委员会 国家林业和草原局. 《关于进一步加强绿色矿山建设的通知》（自然资规〔2024〕1号）. 2024年4月15日</w:t>
      </w:r>
    </w:p>
    <w:p>
      <w:pPr>
        <w:rPr>
          <w:rFonts w:ascii="Times New Roman" w:hAnsi="Times New Roman"/>
        </w:rPr>
      </w:pPr>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 61/T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EA4A3"/>
    <w:multiLevelType w:val="singleLevel"/>
    <w:tmpl w:val="B6CEA4A3"/>
    <w:lvl w:ilvl="0" w:tentative="0">
      <w:start w:val="1"/>
      <w:numFmt w:val="decimal"/>
      <w:suff w:val="space"/>
      <w:lvlText w:val="[%1]"/>
      <w:lvlJc w:val="left"/>
      <w:rPr>
        <w:rFonts w:hint="default" w:ascii="宋体" w:hAnsi="宋体" w:eastAsia="宋体" w:cs="宋体"/>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4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jYjcxNjFiNzI5NDhlOTVlMDNjMTRhY2RkNDY2M2UifQ=="/>
  </w:docVars>
  <w:rsids>
    <w:rsidRoot w:val="00C0350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51E"/>
    <w:rsid w:val="0005548B"/>
    <w:rsid w:val="000556ED"/>
    <w:rsid w:val="00055FE2"/>
    <w:rsid w:val="0005616F"/>
    <w:rsid w:val="00060C2E"/>
    <w:rsid w:val="00061033"/>
    <w:rsid w:val="000619E9"/>
    <w:rsid w:val="000622D4"/>
    <w:rsid w:val="0006357D"/>
    <w:rsid w:val="00067F1E"/>
    <w:rsid w:val="00071CC0"/>
    <w:rsid w:val="000731D4"/>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AD8"/>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172"/>
    <w:rsid w:val="00142969"/>
    <w:rsid w:val="001446C2"/>
    <w:rsid w:val="001457E7"/>
    <w:rsid w:val="00145D9D"/>
    <w:rsid w:val="00146388"/>
    <w:rsid w:val="001529E5"/>
    <w:rsid w:val="00153C7E"/>
    <w:rsid w:val="00156B25"/>
    <w:rsid w:val="00156E1A"/>
    <w:rsid w:val="00157894"/>
    <w:rsid w:val="00157B55"/>
    <w:rsid w:val="00162DA9"/>
    <w:rsid w:val="001642FA"/>
    <w:rsid w:val="001649EB"/>
    <w:rsid w:val="00164BAF"/>
    <w:rsid w:val="00164FA8"/>
    <w:rsid w:val="00165065"/>
    <w:rsid w:val="00165199"/>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04FE"/>
    <w:rsid w:val="0020107D"/>
    <w:rsid w:val="00202AA4"/>
    <w:rsid w:val="002031F7"/>
    <w:rsid w:val="002040E6"/>
    <w:rsid w:val="0020527B"/>
    <w:rsid w:val="00205F2C"/>
    <w:rsid w:val="00210B15"/>
    <w:rsid w:val="002142EA"/>
    <w:rsid w:val="002204BB"/>
    <w:rsid w:val="00221B79"/>
    <w:rsid w:val="00221C6B"/>
    <w:rsid w:val="00223442"/>
    <w:rsid w:val="002253A1"/>
    <w:rsid w:val="00225CF8"/>
    <w:rsid w:val="0022794E"/>
    <w:rsid w:val="00233D64"/>
    <w:rsid w:val="0023482A"/>
    <w:rsid w:val="002359CB"/>
    <w:rsid w:val="002405A1"/>
    <w:rsid w:val="00243540"/>
    <w:rsid w:val="0024497B"/>
    <w:rsid w:val="0024515B"/>
    <w:rsid w:val="00246021"/>
    <w:rsid w:val="0024666E"/>
    <w:rsid w:val="00247F52"/>
    <w:rsid w:val="00250B25"/>
    <w:rsid w:val="00250BBE"/>
    <w:rsid w:val="00250C89"/>
    <w:rsid w:val="002515C2"/>
    <w:rsid w:val="0025194F"/>
    <w:rsid w:val="0026148A"/>
    <w:rsid w:val="00262696"/>
    <w:rsid w:val="00263D25"/>
    <w:rsid w:val="002643C3"/>
    <w:rsid w:val="00264A0C"/>
    <w:rsid w:val="00266EEB"/>
    <w:rsid w:val="00267EF4"/>
    <w:rsid w:val="00270CB8"/>
    <w:rsid w:val="002721F3"/>
    <w:rsid w:val="00272B08"/>
    <w:rsid w:val="002771AC"/>
    <w:rsid w:val="00281BB8"/>
    <w:rsid w:val="00281E9E"/>
    <w:rsid w:val="00282405"/>
    <w:rsid w:val="00285170"/>
    <w:rsid w:val="00285361"/>
    <w:rsid w:val="00287C5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EC2"/>
    <w:rsid w:val="002D4F1A"/>
    <w:rsid w:val="002D6EC6"/>
    <w:rsid w:val="002D79AC"/>
    <w:rsid w:val="002E039D"/>
    <w:rsid w:val="002E30A3"/>
    <w:rsid w:val="002E4D5A"/>
    <w:rsid w:val="002E6326"/>
    <w:rsid w:val="002F30E0"/>
    <w:rsid w:val="002F35E4"/>
    <w:rsid w:val="002F3730"/>
    <w:rsid w:val="002F38E1"/>
    <w:rsid w:val="002F7AF6"/>
    <w:rsid w:val="00300E63"/>
    <w:rsid w:val="00302F5F"/>
    <w:rsid w:val="0030441D"/>
    <w:rsid w:val="00306063"/>
    <w:rsid w:val="00313B85"/>
    <w:rsid w:val="003171E8"/>
    <w:rsid w:val="00317988"/>
    <w:rsid w:val="003221B4"/>
    <w:rsid w:val="0032258D"/>
    <w:rsid w:val="00322E62"/>
    <w:rsid w:val="00324D13"/>
    <w:rsid w:val="00324D2A"/>
    <w:rsid w:val="00324EDD"/>
    <w:rsid w:val="003331E4"/>
    <w:rsid w:val="00336C64"/>
    <w:rsid w:val="00337162"/>
    <w:rsid w:val="0034194F"/>
    <w:rsid w:val="00344605"/>
    <w:rsid w:val="00346168"/>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7AAC"/>
    <w:rsid w:val="00381815"/>
    <w:rsid w:val="003819AF"/>
    <w:rsid w:val="003820E9"/>
    <w:rsid w:val="00382DE7"/>
    <w:rsid w:val="00384FFC"/>
    <w:rsid w:val="003872FC"/>
    <w:rsid w:val="00387ADC"/>
    <w:rsid w:val="00390020"/>
    <w:rsid w:val="003903D6"/>
    <w:rsid w:val="003905D2"/>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EF4"/>
    <w:rsid w:val="00404869"/>
    <w:rsid w:val="00405884"/>
    <w:rsid w:val="00407D39"/>
    <w:rsid w:val="0041283B"/>
    <w:rsid w:val="0041477A"/>
    <w:rsid w:val="00415434"/>
    <w:rsid w:val="004167A3"/>
    <w:rsid w:val="0042020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1CE"/>
    <w:rsid w:val="00470775"/>
    <w:rsid w:val="004746B1"/>
    <w:rsid w:val="0047583F"/>
    <w:rsid w:val="00475DE8"/>
    <w:rsid w:val="00481C44"/>
    <w:rsid w:val="00484936"/>
    <w:rsid w:val="00485C89"/>
    <w:rsid w:val="00486BE3"/>
    <w:rsid w:val="004905E4"/>
    <w:rsid w:val="00490A89"/>
    <w:rsid w:val="00490AB4"/>
    <w:rsid w:val="00492F02"/>
    <w:rsid w:val="004939AE"/>
    <w:rsid w:val="004A00CC"/>
    <w:rsid w:val="004A12DF"/>
    <w:rsid w:val="004A17E6"/>
    <w:rsid w:val="004A1BA8"/>
    <w:rsid w:val="004A4B57"/>
    <w:rsid w:val="004A63FA"/>
    <w:rsid w:val="004B00C6"/>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F5A"/>
    <w:rsid w:val="004F2137"/>
    <w:rsid w:val="004F391A"/>
    <w:rsid w:val="004F3CFB"/>
    <w:rsid w:val="004F6456"/>
    <w:rsid w:val="004F696E"/>
    <w:rsid w:val="004F6C71"/>
    <w:rsid w:val="0050013D"/>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509"/>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D29"/>
    <w:rsid w:val="005A7830"/>
    <w:rsid w:val="005A7FCE"/>
    <w:rsid w:val="005B0F3F"/>
    <w:rsid w:val="005B4903"/>
    <w:rsid w:val="005B51CE"/>
    <w:rsid w:val="005B5885"/>
    <w:rsid w:val="005B5CD7"/>
    <w:rsid w:val="005B6CF6"/>
    <w:rsid w:val="005B7422"/>
    <w:rsid w:val="005C29B8"/>
    <w:rsid w:val="005C393F"/>
    <w:rsid w:val="005C5F21"/>
    <w:rsid w:val="005C7156"/>
    <w:rsid w:val="005D0A3F"/>
    <w:rsid w:val="005D0C75"/>
    <w:rsid w:val="005D4171"/>
    <w:rsid w:val="005D6A95"/>
    <w:rsid w:val="005D6B2C"/>
    <w:rsid w:val="005D6D9C"/>
    <w:rsid w:val="005E2335"/>
    <w:rsid w:val="005E34CA"/>
    <w:rsid w:val="005E3C18"/>
    <w:rsid w:val="005E557B"/>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A7E"/>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991"/>
    <w:rsid w:val="006A2B46"/>
    <w:rsid w:val="006A336D"/>
    <w:rsid w:val="006A37B9"/>
    <w:rsid w:val="006A6808"/>
    <w:rsid w:val="006B2672"/>
    <w:rsid w:val="006B43E2"/>
    <w:rsid w:val="006B54BF"/>
    <w:rsid w:val="006B5F44"/>
    <w:rsid w:val="006B5F90"/>
    <w:rsid w:val="006B62E4"/>
    <w:rsid w:val="006C1BBA"/>
    <w:rsid w:val="006C2079"/>
    <w:rsid w:val="006C461C"/>
    <w:rsid w:val="006C5A62"/>
    <w:rsid w:val="006C5D68"/>
    <w:rsid w:val="006C6976"/>
    <w:rsid w:val="006C6DD0"/>
    <w:rsid w:val="006D04EA"/>
    <w:rsid w:val="006D0AB7"/>
    <w:rsid w:val="006D16C4"/>
    <w:rsid w:val="006D3E96"/>
    <w:rsid w:val="006D4515"/>
    <w:rsid w:val="006D4BB1"/>
    <w:rsid w:val="006D6593"/>
    <w:rsid w:val="006E23EA"/>
    <w:rsid w:val="006E3527"/>
    <w:rsid w:val="006F03A8"/>
    <w:rsid w:val="006F2ACA"/>
    <w:rsid w:val="006F2ADC"/>
    <w:rsid w:val="006F2BFE"/>
    <w:rsid w:val="006F31E9"/>
    <w:rsid w:val="006F6284"/>
    <w:rsid w:val="007002C5"/>
    <w:rsid w:val="00704387"/>
    <w:rsid w:val="00707669"/>
    <w:rsid w:val="00711CBA"/>
    <w:rsid w:val="00711FB5"/>
    <w:rsid w:val="00712A01"/>
    <w:rsid w:val="00714F58"/>
    <w:rsid w:val="0071600C"/>
    <w:rsid w:val="00722FBF"/>
    <w:rsid w:val="00722FC2"/>
    <w:rsid w:val="00724879"/>
    <w:rsid w:val="00724E1B"/>
    <w:rsid w:val="00725949"/>
    <w:rsid w:val="00727FA2"/>
    <w:rsid w:val="007322D9"/>
    <w:rsid w:val="00732BC0"/>
    <w:rsid w:val="00735F9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D90"/>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BBE"/>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3D4"/>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4FE6"/>
    <w:rsid w:val="00865ACA"/>
    <w:rsid w:val="00865D28"/>
    <w:rsid w:val="00865F85"/>
    <w:rsid w:val="00867C10"/>
    <w:rsid w:val="00870439"/>
    <w:rsid w:val="00870DA1"/>
    <w:rsid w:val="008818D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5A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113"/>
    <w:rsid w:val="009245F5"/>
    <w:rsid w:val="009249EC"/>
    <w:rsid w:val="009273B3"/>
    <w:rsid w:val="009305B5"/>
    <w:rsid w:val="00932ED5"/>
    <w:rsid w:val="00941353"/>
    <w:rsid w:val="009429D5"/>
    <w:rsid w:val="00942BF1"/>
    <w:rsid w:val="00945180"/>
    <w:rsid w:val="00945428"/>
    <w:rsid w:val="0094607B"/>
    <w:rsid w:val="00953604"/>
    <w:rsid w:val="0095496B"/>
    <w:rsid w:val="009610DC"/>
    <w:rsid w:val="00961490"/>
    <w:rsid w:val="00962E03"/>
    <w:rsid w:val="0096381A"/>
    <w:rsid w:val="00965E04"/>
    <w:rsid w:val="009674AD"/>
    <w:rsid w:val="00970CDC"/>
    <w:rsid w:val="00977010"/>
    <w:rsid w:val="00977D02"/>
    <w:rsid w:val="009809BB"/>
    <w:rsid w:val="0098364B"/>
    <w:rsid w:val="009845B2"/>
    <w:rsid w:val="00984E6A"/>
    <w:rsid w:val="009855F7"/>
    <w:rsid w:val="0098777E"/>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E6B"/>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689"/>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77DF"/>
    <w:rsid w:val="00AF0C18"/>
    <w:rsid w:val="00AF47C5"/>
    <w:rsid w:val="00AF4910"/>
    <w:rsid w:val="00AF5398"/>
    <w:rsid w:val="00B049AF"/>
    <w:rsid w:val="00B07242"/>
    <w:rsid w:val="00B1019F"/>
    <w:rsid w:val="00B10534"/>
    <w:rsid w:val="00B113DB"/>
    <w:rsid w:val="00B11D8A"/>
    <w:rsid w:val="00B12981"/>
    <w:rsid w:val="00B13EB9"/>
    <w:rsid w:val="00B147DD"/>
    <w:rsid w:val="00B155B9"/>
    <w:rsid w:val="00B156FD"/>
    <w:rsid w:val="00B171D9"/>
    <w:rsid w:val="00B21F61"/>
    <w:rsid w:val="00B261F1"/>
    <w:rsid w:val="00B265BC"/>
    <w:rsid w:val="00B2681D"/>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FBE"/>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1DDA"/>
    <w:rsid w:val="00BF231C"/>
    <w:rsid w:val="00BF51E5"/>
    <w:rsid w:val="00BF74A6"/>
    <w:rsid w:val="00C013AD"/>
    <w:rsid w:val="00C03508"/>
    <w:rsid w:val="00C04904"/>
    <w:rsid w:val="00C056B3"/>
    <w:rsid w:val="00C103E5"/>
    <w:rsid w:val="00C13319"/>
    <w:rsid w:val="00C13EE9"/>
    <w:rsid w:val="00C21540"/>
    <w:rsid w:val="00C21906"/>
    <w:rsid w:val="00C21BFA"/>
    <w:rsid w:val="00C22148"/>
    <w:rsid w:val="00C24C8D"/>
    <w:rsid w:val="00C25FE2"/>
    <w:rsid w:val="00C26B53"/>
    <w:rsid w:val="00C279B2"/>
    <w:rsid w:val="00C3000D"/>
    <w:rsid w:val="00C33E50"/>
    <w:rsid w:val="00C34C20"/>
    <w:rsid w:val="00C35A3E"/>
    <w:rsid w:val="00C42130"/>
    <w:rsid w:val="00C423A4"/>
    <w:rsid w:val="00C44BF5"/>
    <w:rsid w:val="00C521D6"/>
    <w:rsid w:val="00C53A53"/>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CA5"/>
    <w:rsid w:val="00C905FC"/>
    <w:rsid w:val="00C92D03"/>
    <w:rsid w:val="00C9319C"/>
    <w:rsid w:val="00C9435D"/>
    <w:rsid w:val="00C94DF2"/>
    <w:rsid w:val="00C950F0"/>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5A2"/>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4495"/>
    <w:rsid w:val="00D950E1"/>
    <w:rsid w:val="00D952A6"/>
    <w:rsid w:val="00D957FE"/>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021"/>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B61"/>
    <w:rsid w:val="00E62FF9"/>
    <w:rsid w:val="00E635D6"/>
    <w:rsid w:val="00E639BC"/>
    <w:rsid w:val="00E662C5"/>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7D0D"/>
    <w:rsid w:val="00ED067A"/>
    <w:rsid w:val="00ED1DE0"/>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2837"/>
    <w:rsid w:val="00F25BB6"/>
    <w:rsid w:val="00F26B7E"/>
    <w:rsid w:val="00F27A3B"/>
    <w:rsid w:val="00F27C17"/>
    <w:rsid w:val="00F33817"/>
    <w:rsid w:val="00F420D5"/>
    <w:rsid w:val="00F451EA"/>
    <w:rsid w:val="00F45447"/>
    <w:rsid w:val="00F456A1"/>
    <w:rsid w:val="00F456C6"/>
    <w:rsid w:val="00F4577B"/>
    <w:rsid w:val="00F46496"/>
    <w:rsid w:val="00F474D0"/>
    <w:rsid w:val="00F50179"/>
    <w:rsid w:val="00F515EE"/>
    <w:rsid w:val="00F53C7D"/>
    <w:rsid w:val="00F56511"/>
    <w:rsid w:val="00F6194E"/>
    <w:rsid w:val="00F623AC"/>
    <w:rsid w:val="00F6412A"/>
    <w:rsid w:val="00F65893"/>
    <w:rsid w:val="00F66A4A"/>
    <w:rsid w:val="00F71E22"/>
    <w:rsid w:val="00F72142"/>
    <w:rsid w:val="00F72AE7"/>
    <w:rsid w:val="00F81141"/>
    <w:rsid w:val="00F815C8"/>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57C7"/>
    <w:rsid w:val="00FB7054"/>
    <w:rsid w:val="00FC17B7"/>
    <w:rsid w:val="00FC2CB7"/>
    <w:rsid w:val="00FC4090"/>
    <w:rsid w:val="00FC55B4"/>
    <w:rsid w:val="00FC5788"/>
    <w:rsid w:val="00FD00E6"/>
    <w:rsid w:val="00FD09A1"/>
    <w:rsid w:val="00FD2A7C"/>
    <w:rsid w:val="00FD59EB"/>
    <w:rsid w:val="00FD7299"/>
    <w:rsid w:val="00FE1FBE"/>
    <w:rsid w:val="00FE3901"/>
    <w:rsid w:val="00FE39D3"/>
    <w:rsid w:val="00FE4BCE"/>
    <w:rsid w:val="00FE54AE"/>
    <w:rsid w:val="00FE576A"/>
    <w:rsid w:val="00FE6006"/>
    <w:rsid w:val="00FE7E79"/>
    <w:rsid w:val="00FF3E7D"/>
    <w:rsid w:val="00FF5B99"/>
    <w:rsid w:val="00FF730C"/>
    <w:rsid w:val="00FF73F4"/>
    <w:rsid w:val="00FF7CE4"/>
    <w:rsid w:val="00FF7E39"/>
    <w:rsid w:val="04B14F1D"/>
    <w:rsid w:val="0553479D"/>
    <w:rsid w:val="1D1427A7"/>
    <w:rsid w:val="200E590D"/>
    <w:rsid w:val="216F51DB"/>
    <w:rsid w:val="22A867BF"/>
    <w:rsid w:val="26867B60"/>
    <w:rsid w:val="2A0D6C0A"/>
    <w:rsid w:val="32C343D5"/>
    <w:rsid w:val="34AE0B6C"/>
    <w:rsid w:val="460D74FE"/>
    <w:rsid w:val="51DB3470"/>
    <w:rsid w:val="62FB30A8"/>
    <w:rsid w:val="668F7D8F"/>
    <w:rsid w:val="68194E1C"/>
    <w:rsid w:val="6D033D14"/>
    <w:rsid w:val="72713961"/>
    <w:rsid w:val="746E12AF"/>
    <w:rsid w:val="779D6084"/>
    <w:rsid w:val="7EFF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89"/>
    <w:qFormat/>
    <w:uiPriority w:val="99"/>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99"/>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table" w:customStyle="1" w:styleId="233">
    <w:name w:val="Table Normal"/>
    <w:basedOn w:val="28"/>
    <w:qFormat/>
    <w:uiPriority w:val="0"/>
    <w:rPr>
      <w:rFonts w:ascii="Times New Roman" w:hAnsi="Times New Roman" w:eastAsia="Times New Roman"/>
    </w:rPr>
    <w:tblPr>
      <w:tblCellMar>
        <w:left w:w="0" w:type="dxa"/>
        <w:right w:w="0" w:type="dxa"/>
      </w:tblCellMar>
    </w:tblPr>
  </w:style>
  <w:style w:type="character" w:customStyle="1" w:styleId="234">
    <w:name w:val="批注文字 字符"/>
    <w:basedOn w:val="30"/>
    <w:link w:val="13"/>
    <w:semiHidden/>
    <w:qFormat/>
    <w:uiPriority w:val="99"/>
    <w:rPr>
      <w:kern w:val="2"/>
      <w:sz w:val="21"/>
      <w:szCs w:val="21"/>
    </w:rPr>
  </w:style>
  <w:style w:type="character" w:customStyle="1" w:styleId="235">
    <w:name w:val="批注主题 字符"/>
    <w:basedOn w:val="234"/>
    <w:link w:val="27"/>
    <w:semiHidden/>
    <w:qFormat/>
    <w:uiPriority w:val="99"/>
    <w:rPr>
      <w:b/>
      <w:bCs/>
      <w:kern w:val="2"/>
      <w:sz w:val="21"/>
      <w:szCs w:val="21"/>
    </w:rPr>
  </w:style>
  <w:style w:type="character" w:customStyle="1" w:styleId="236">
    <w:name w:val="不明显参考11"/>
    <w:qFormat/>
    <w:uiPriority w:val="31"/>
    <w:rPr>
      <w:smallCaps/>
      <w:color w:val="C0504D"/>
      <w:u w:val="single"/>
    </w:rPr>
  </w:style>
  <w:style w:type="paragraph" w:styleId="237">
    <w:name w:val="List Paragraph"/>
    <w:basedOn w:val="1"/>
    <w:qFormat/>
    <w:uiPriority w:val="34"/>
    <w:pPr>
      <w:ind w:firstLine="420" w:firstLineChars="200"/>
    </w:pPr>
  </w:style>
  <w:style w:type="paragraph" w:customStyle="1" w:styleId="238">
    <w:name w:val="Table Text"/>
    <w:basedOn w:val="1"/>
    <w:semiHidden/>
    <w:qFormat/>
    <w:uiPriority w:val="0"/>
    <w:pPr>
      <w:widowControl/>
      <w:kinsoku w:val="0"/>
      <w:autoSpaceDE w:val="0"/>
      <w:autoSpaceDN w:val="0"/>
      <w:snapToGrid w:val="0"/>
      <w:spacing w:line="240" w:lineRule="auto"/>
      <w:jc w:val="left"/>
      <w:textAlignment w:val="baseline"/>
    </w:pPr>
    <w:rPr>
      <w:rFonts w:ascii="仿宋" w:hAnsi="仿宋" w:eastAsia="仿宋" w:cs="宋体"/>
      <w:color w:val="000000"/>
      <w:kern w:val="0"/>
      <w:sz w:val="24"/>
      <w:szCs w:val="24"/>
    </w:rPr>
  </w:style>
  <w:style w:type="paragraph" w:customStyle="1" w:styleId="239">
    <w:name w:val="列表段落1"/>
    <w:basedOn w:val="1"/>
    <w:qFormat/>
    <w:uiPriority w:val="0"/>
    <w:pPr>
      <w:widowControl/>
      <w:kinsoku w:val="0"/>
      <w:autoSpaceDE w:val="0"/>
      <w:autoSpaceDN w:val="0"/>
      <w:snapToGrid w:val="0"/>
      <w:spacing w:line="240" w:lineRule="auto"/>
      <w:ind w:firstLine="420" w:firstLineChars="200"/>
      <w:jc w:val="left"/>
      <w:textAlignment w:val="baseline"/>
    </w:pPr>
    <w:rPr>
      <w:rFonts w:ascii="Arial" w:hAnsi="Arial" w:cs="Arial"/>
      <w:color w:val="000000"/>
      <w:kern w:val="0"/>
    </w:rPr>
  </w:style>
  <w:style w:type="paragraph" w:customStyle="1" w:styleId="240">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1">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2">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4">
    <w:name w:val="正文1"/>
    <w:qFormat/>
    <w:uiPriority w:val="0"/>
    <w:pPr>
      <w:jc w:val="both"/>
    </w:pPr>
    <w:rPr>
      <w:rFonts w:ascii="Calibri" w:hAnsi="Calibri" w:eastAsia="宋体" w:cs="Calibri"/>
      <w:kern w:val="2"/>
      <w:sz w:val="21"/>
      <w:szCs w:val="21"/>
      <w:lang w:val="en-US" w:eastAsia="zh-CN" w:bidi="ar-SA"/>
    </w:rPr>
  </w:style>
  <w:style w:type="paragraph" w:customStyle="1" w:styleId="245">
    <w:name w:val="修订4"/>
    <w:hidden/>
    <w:unhideWhenUsed/>
    <w:qFormat/>
    <w:uiPriority w:val="99"/>
    <w:rPr>
      <w:rFonts w:ascii="Calibri" w:hAnsi="Calibri" w:eastAsia="宋体" w:cs="Times New Roman"/>
      <w:kern w:val="2"/>
      <w:sz w:val="21"/>
      <w:szCs w:val="21"/>
      <w:lang w:val="en-US" w:eastAsia="zh-CN" w:bidi="ar-SA"/>
    </w:rPr>
  </w:style>
  <w:style w:type="paragraph" w:customStyle="1" w:styleId="246">
    <w:name w:val="修订5"/>
    <w:hidden/>
    <w:unhideWhenUsed/>
    <w:qFormat/>
    <w:uiPriority w:val="99"/>
    <w:rPr>
      <w:rFonts w:ascii="Calibri" w:hAnsi="Calibri" w:eastAsia="宋体" w:cs="Times New Roman"/>
      <w:kern w:val="2"/>
      <w:sz w:val="21"/>
      <w:szCs w:val="21"/>
      <w:lang w:val="en-US" w:eastAsia="zh-CN" w:bidi="ar-SA"/>
    </w:rPr>
  </w:style>
  <w:style w:type="paragraph" w:customStyle="1" w:styleId="2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8">
    <w:name w:val="章标题"/>
    <w:next w:val="247"/>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9">
    <w:name w:val="WPSOffice手动目录 1"/>
    <w:uiPriority w:val="0"/>
    <w:pPr>
      <w:ind w:leftChars="0"/>
    </w:pPr>
    <w:rPr>
      <w:rFonts w:ascii="Calibri" w:hAnsi="Calibri" w:eastAsia="宋体" w:cs="Times New Roman"/>
      <w:sz w:val="20"/>
      <w:szCs w:val="20"/>
    </w:rPr>
  </w:style>
  <w:style w:type="paragraph" w:customStyle="1" w:styleId="250">
    <w:name w:val="WPSOffice手动目录 2"/>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footnotes" Target="footnotes.xml"/><Relationship Id="rId29" Type="http://schemas.openxmlformats.org/officeDocument/2006/relationships/oleObject" Target="embeddings/oleObject1.bin"/><Relationship Id="rId28" Type="http://schemas.openxmlformats.org/officeDocument/2006/relationships/image" Target="media/image1.tiff"/><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05E814F1A04DF8B43B8F493559A9C1"/>
        <w:style w:val=""/>
        <w:category>
          <w:name w:val="常规"/>
          <w:gallery w:val="placeholder"/>
        </w:category>
        <w:types>
          <w:type w:val="bbPlcHdr"/>
        </w:types>
        <w:behaviors>
          <w:behavior w:val="content"/>
        </w:behaviors>
        <w:description w:val=""/>
        <w:guid w:val="{A9652E54-9903-4932-8D4A-A35971C764AB}"/>
      </w:docPartPr>
      <w:docPartBody>
        <w:p>
          <w:pPr>
            <w:pStyle w:val="5"/>
            <w:rPr>
              <w:rFonts w:hint="eastAsia"/>
            </w:rPr>
          </w:pPr>
          <w:r>
            <w:rPr>
              <w:rStyle w:val="4"/>
              <w:rFonts w:hint="eastAsia"/>
            </w:rPr>
            <w:t>单击或点击此处输入文字。</w:t>
          </w:r>
        </w:p>
      </w:docPartBody>
    </w:docPart>
    <w:docPart>
      <w:docPartPr>
        <w:name w:val="769358757F854073B587A28751A76BE6"/>
        <w:style w:val=""/>
        <w:category>
          <w:name w:val="常规"/>
          <w:gallery w:val="placeholder"/>
        </w:category>
        <w:types>
          <w:type w:val="bbPlcHdr"/>
        </w:types>
        <w:behaviors>
          <w:behavior w:val="content"/>
        </w:behaviors>
        <w:description w:val=""/>
        <w:guid w:val="{EE5A7352-8C35-4408-A973-DBC992DB3E3C}"/>
      </w:docPartPr>
      <w:docPartBody>
        <w:p>
          <w:pPr>
            <w:pStyle w:val="6"/>
            <w:rPr>
              <w:rFonts w:hint="eastAsia"/>
            </w:rPr>
          </w:pPr>
          <w:r>
            <w:rPr>
              <w:rStyle w:val="4"/>
              <w:rFonts w:hint="eastAsia"/>
            </w:rPr>
            <w:t>选择一项。</w:t>
          </w:r>
        </w:p>
      </w:docPartBody>
    </w:docPart>
    <w:docPart>
      <w:docPartPr>
        <w:name w:val="38C34D0E09D748A48BB389ACF2E377C6"/>
        <w:style w:val=""/>
        <w:category>
          <w:name w:val="常规"/>
          <w:gallery w:val="placeholder"/>
        </w:category>
        <w:types>
          <w:type w:val="bbPlcHdr"/>
        </w:types>
        <w:behaviors>
          <w:behavior w:val="content"/>
        </w:behaviors>
        <w:description w:val=""/>
        <w:guid w:val="{EAD92D8B-F2D1-49A6-AB88-5DFA6CC551D7}"/>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5E"/>
    <w:rsid w:val="00014320"/>
    <w:rsid w:val="000559ED"/>
    <w:rsid w:val="002470AE"/>
    <w:rsid w:val="002B265D"/>
    <w:rsid w:val="002C0C01"/>
    <w:rsid w:val="002E50DA"/>
    <w:rsid w:val="00327E0C"/>
    <w:rsid w:val="003F4AC4"/>
    <w:rsid w:val="004367D4"/>
    <w:rsid w:val="0047695B"/>
    <w:rsid w:val="004A79DF"/>
    <w:rsid w:val="0053007E"/>
    <w:rsid w:val="00637776"/>
    <w:rsid w:val="006E397D"/>
    <w:rsid w:val="0072489C"/>
    <w:rsid w:val="00765D90"/>
    <w:rsid w:val="00A34412"/>
    <w:rsid w:val="00A43D99"/>
    <w:rsid w:val="00AD22B1"/>
    <w:rsid w:val="00B0758F"/>
    <w:rsid w:val="00BF72BA"/>
    <w:rsid w:val="00CD67C9"/>
    <w:rsid w:val="00EA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705E814F1A04DF8B43B8F493559A9C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769358757F854073B587A28751A76B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8C34D0E09D748A48BB389ACF2E377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20</Pages>
  <Words>8576</Words>
  <Characters>9173</Characters>
  <Lines>186</Lines>
  <Paragraphs>52</Paragraphs>
  <TotalTime>5</TotalTime>
  <ScaleCrop>false</ScaleCrop>
  <LinksUpToDate>false</LinksUpToDate>
  <CharactersWithSpaces>9454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2024-07-15T09:15:00Z</dcterms:created>
  <dc:creator>Administrator</dc:creator>
  <dc:description>&lt;config cover="true" show_menu="true" version="1.0.0" doctype="SDKXY"&gt;_x000d_
&lt;/config&gt;</dc:description>
  <cp:lastModifiedBy>陌路焚尘</cp:lastModifiedBy>
  <cp:lastPrinted>2023-12-13T00:47:00Z</cp:lastPrinted>
  <dcterms:modified xsi:type="dcterms:W3CDTF">2024-07-16T07:51:51Z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2052-12.1.0.16929</vt:lpwstr>
  </property>
  <property fmtid="{D5CDD505-2E9C-101B-9397-08002B2CF9AE}" pid="16" name="ICV">
    <vt:lpwstr>2885145C22554B6B89FE67529FB07530_13</vt:lpwstr>
  </property>
</Properties>
</file>