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75FE1D">
      <w:pPr>
        <w:spacing w:line="600" w:lineRule="exact"/>
        <w:rPr>
          <w:rFonts w:ascii="Adobe 黑体 Std R" w:hAnsi="Adobe 黑体 Std R" w:eastAsia="Adobe 黑体 Std R"/>
          <w:sz w:val="36"/>
          <w:szCs w:val="36"/>
        </w:rPr>
      </w:pPr>
      <w:bookmarkStart w:id="18" w:name="_GoBack"/>
      <w:bookmarkEnd w:id="18"/>
    </w:p>
    <w:p w14:paraId="02A24786">
      <w:pPr>
        <w:spacing w:line="600" w:lineRule="exact"/>
        <w:rPr>
          <w:rFonts w:ascii="Adobe 黑体 Std R" w:hAnsi="Adobe 黑体 Std R" w:eastAsia="Adobe 黑体 Std R"/>
          <w:sz w:val="36"/>
          <w:szCs w:val="36"/>
        </w:rPr>
      </w:pPr>
    </w:p>
    <w:p w14:paraId="269EA0DF">
      <w:pPr>
        <w:spacing w:line="600" w:lineRule="exact"/>
        <w:rPr>
          <w:rFonts w:ascii="Adobe 黑体 Std R" w:hAnsi="Adobe 黑体 Std R" w:eastAsia="Adobe 黑体 Std R"/>
          <w:sz w:val="36"/>
          <w:szCs w:val="36"/>
        </w:rPr>
      </w:pPr>
    </w:p>
    <w:p w14:paraId="2E8E3F8A">
      <w:pPr>
        <w:spacing w:line="600" w:lineRule="exact"/>
        <w:jc w:val="center"/>
        <w:rPr>
          <w:rFonts w:ascii="Adobe 黑体 Std R" w:hAnsi="Adobe 黑体 Std R" w:eastAsia="Adobe 黑体 Std R"/>
          <w:b/>
          <w:sz w:val="36"/>
          <w:szCs w:val="36"/>
        </w:rPr>
      </w:pPr>
      <w:r>
        <w:rPr>
          <w:rFonts w:hint="eastAsia" w:ascii="Adobe 黑体 Std R" w:hAnsi="Adobe 黑体 Std R" w:eastAsia="Adobe 黑体 Std R"/>
          <w:b/>
          <w:sz w:val="36"/>
          <w:szCs w:val="36"/>
        </w:rPr>
        <w:t>《固体矿产绿色勘查地质钻探技术规范》</w:t>
      </w:r>
    </w:p>
    <w:p w14:paraId="22286847">
      <w:pPr>
        <w:spacing w:line="600" w:lineRule="exact"/>
        <w:jc w:val="center"/>
        <w:rPr>
          <w:rFonts w:ascii="Adobe 黑体 Std R" w:hAnsi="Adobe 黑体 Std R" w:eastAsia="Adobe 黑体 Std R"/>
          <w:b/>
          <w:sz w:val="36"/>
          <w:szCs w:val="36"/>
        </w:rPr>
      </w:pPr>
      <w:r>
        <w:rPr>
          <w:rFonts w:hint="eastAsia" w:ascii="Adobe 黑体 Std R" w:hAnsi="Adobe 黑体 Std R" w:eastAsia="Adobe 黑体 Std R"/>
          <w:b/>
          <w:sz w:val="36"/>
          <w:szCs w:val="36"/>
        </w:rPr>
        <w:t>（征求意见稿）</w:t>
      </w:r>
    </w:p>
    <w:p w14:paraId="033528CA">
      <w:pPr>
        <w:spacing w:line="600" w:lineRule="exact"/>
        <w:jc w:val="center"/>
        <w:rPr>
          <w:rFonts w:ascii="Adobe 黑体 Std R" w:hAnsi="Adobe 黑体 Std R" w:eastAsia="Adobe 黑体 Std R"/>
          <w:b/>
          <w:sz w:val="44"/>
          <w:szCs w:val="44"/>
        </w:rPr>
      </w:pPr>
      <w:r>
        <w:rPr>
          <w:rFonts w:hint="eastAsia" w:ascii="Adobe 黑体 Std R" w:hAnsi="Adobe 黑体 Std R" w:eastAsia="Adobe 黑体 Std R"/>
          <w:b/>
          <w:sz w:val="44"/>
          <w:szCs w:val="44"/>
        </w:rPr>
        <w:t>编 制 说 明</w:t>
      </w:r>
    </w:p>
    <w:p w14:paraId="296A7B51">
      <w:pPr>
        <w:jc w:val="center"/>
        <w:rPr>
          <w:rFonts w:ascii="仿宋_GB2312" w:hAnsi="Adobe 黑体 Std R" w:eastAsia="仿宋_GB2312"/>
          <w:b/>
          <w:sz w:val="32"/>
          <w:szCs w:val="32"/>
        </w:rPr>
      </w:pPr>
    </w:p>
    <w:p w14:paraId="7509932A">
      <w:pPr>
        <w:jc w:val="center"/>
        <w:rPr>
          <w:rFonts w:ascii="仿宋_GB2312" w:hAnsi="Adobe 黑体 Std R" w:eastAsia="仿宋_GB2312"/>
          <w:b/>
          <w:sz w:val="32"/>
          <w:szCs w:val="32"/>
        </w:rPr>
      </w:pPr>
    </w:p>
    <w:p w14:paraId="0B5FA0B5">
      <w:pPr>
        <w:jc w:val="center"/>
        <w:rPr>
          <w:rFonts w:ascii="仿宋_GB2312" w:hAnsi="Adobe 黑体 Std R" w:eastAsia="仿宋_GB2312"/>
          <w:b/>
          <w:sz w:val="32"/>
          <w:szCs w:val="32"/>
        </w:rPr>
      </w:pPr>
    </w:p>
    <w:p w14:paraId="6EA4E956">
      <w:pPr>
        <w:jc w:val="center"/>
        <w:rPr>
          <w:rFonts w:ascii="仿宋_GB2312" w:hAnsi="Adobe 黑体 Std R" w:eastAsia="仿宋_GB2312"/>
          <w:b/>
          <w:sz w:val="32"/>
          <w:szCs w:val="32"/>
        </w:rPr>
      </w:pPr>
    </w:p>
    <w:p w14:paraId="4798812D">
      <w:pPr>
        <w:jc w:val="center"/>
        <w:rPr>
          <w:rFonts w:ascii="仿宋_GB2312" w:hAnsi="Adobe 黑体 Std R" w:eastAsia="仿宋_GB2312"/>
          <w:b/>
          <w:sz w:val="32"/>
          <w:szCs w:val="32"/>
        </w:rPr>
      </w:pPr>
    </w:p>
    <w:p w14:paraId="40A07BC8">
      <w:pPr>
        <w:jc w:val="center"/>
        <w:rPr>
          <w:rFonts w:ascii="仿宋_GB2312" w:hAnsi="Adobe 黑体 Std R" w:eastAsia="仿宋_GB2312"/>
          <w:b/>
          <w:sz w:val="32"/>
          <w:szCs w:val="32"/>
        </w:rPr>
      </w:pPr>
    </w:p>
    <w:p w14:paraId="67B978BA">
      <w:pPr>
        <w:jc w:val="center"/>
        <w:rPr>
          <w:rFonts w:ascii="仿宋_GB2312" w:hAnsi="Adobe 黑体 Std R" w:eastAsia="仿宋_GB2312"/>
          <w:b/>
          <w:sz w:val="32"/>
          <w:szCs w:val="32"/>
        </w:rPr>
      </w:pPr>
    </w:p>
    <w:p w14:paraId="515965F0">
      <w:pPr>
        <w:jc w:val="center"/>
        <w:rPr>
          <w:rFonts w:ascii="仿宋_GB2312" w:hAnsi="Adobe 黑体 Std R" w:eastAsia="仿宋_GB2312"/>
          <w:b/>
          <w:sz w:val="32"/>
          <w:szCs w:val="32"/>
        </w:rPr>
      </w:pPr>
    </w:p>
    <w:p w14:paraId="6DA89761">
      <w:pPr>
        <w:jc w:val="center"/>
        <w:rPr>
          <w:rFonts w:ascii="仿宋_GB2312" w:hAnsi="Adobe 黑体 Std R" w:eastAsia="仿宋_GB2312"/>
          <w:b/>
          <w:sz w:val="32"/>
          <w:szCs w:val="32"/>
        </w:rPr>
      </w:pPr>
    </w:p>
    <w:p w14:paraId="77C4535B">
      <w:pPr>
        <w:jc w:val="center"/>
        <w:rPr>
          <w:rFonts w:ascii="仿宋_GB2312" w:hAnsi="Adobe 黑体 Std R" w:eastAsia="仿宋_GB2312"/>
          <w:b/>
          <w:sz w:val="32"/>
          <w:szCs w:val="32"/>
        </w:rPr>
      </w:pPr>
    </w:p>
    <w:p w14:paraId="41BEB249">
      <w:pPr>
        <w:jc w:val="center"/>
        <w:rPr>
          <w:rFonts w:ascii="仿宋_GB2312" w:hAnsi="Adobe 黑体 Std R" w:eastAsia="仿宋_GB2312"/>
          <w:b/>
          <w:sz w:val="32"/>
          <w:szCs w:val="32"/>
        </w:rPr>
      </w:pPr>
    </w:p>
    <w:p w14:paraId="4BCA6778">
      <w:pPr>
        <w:jc w:val="center"/>
        <w:rPr>
          <w:rFonts w:ascii="仿宋_GB2312" w:hAnsi="Adobe 黑体 Std R" w:eastAsia="仿宋_GB2312"/>
          <w:b/>
          <w:sz w:val="32"/>
          <w:szCs w:val="32"/>
        </w:rPr>
      </w:pPr>
    </w:p>
    <w:p w14:paraId="2EF05557">
      <w:pPr>
        <w:jc w:val="center"/>
        <w:rPr>
          <w:rFonts w:ascii="Times New Roman" w:hAnsi="Times New Roman" w:eastAsia="Adobe 黑体 Std R" w:cs="Times New Roman"/>
          <w:b/>
          <w:sz w:val="32"/>
          <w:szCs w:val="32"/>
        </w:rPr>
      </w:pPr>
      <w:r>
        <w:rPr>
          <w:rFonts w:ascii="Times New Roman" w:hAnsi="Times New Roman" w:eastAsia="Adobe 黑体 Std R" w:cs="Times New Roman"/>
          <w:b/>
          <w:sz w:val="32"/>
          <w:szCs w:val="32"/>
        </w:rPr>
        <w:t>中国地质调查局西安矿产资源调查中心</w:t>
      </w:r>
    </w:p>
    <w:p w14:paraId="5506AFEA">
      <w:pPr>
        <w:jc w:val="center"/>
        <w:rPr>
          <w:rFonts w:ascii="Times New Roman" w:hAnsi="Times New Roman" w:eastAsia="Adobe 黑体 Std R" w:cs="Times New Roman"/>
          <w:b/>
          <w:sz w:val="32"/>
          <w:szCs w:val="32"/>
        </w:rPr>
      </w:pPr>
      <w:r>
        <w:rPr>
          <w:rFonts w:ascii="Times New Roman" w:hAnsi="Times New Roman" w:eastAsia="Adobe 黑体 Std R" w:cs="Times New Roman"/>
          <w:b/>
          <w:sz w:val="32"/>
          <w:szCs w:val="32"/>
        </w:rPr>
        <w:t>2025年2月</w:t>
      </w:r>
    </w:p>
    <w:p w14:paraId="12D56FCC">
      <w:pPr>
        <w:widowControl/>
        <w:ind w:firstLine="640" w:firstLineChars="200"/>
        <w:jc w:val="left"/>
        <w:rPr>
          <w:rFonts w:ascii="Adobe 黑体 Std R" w:hAnsi="Adobe 黑体 Std R" w:eastAsia="Adobe 黑体 Std R"/>
          <w:sz w:val="32"/>
          <w:szCs w:val="32"/>
        </w:rPr>
        <w:sectPr>
          <w:footerReference r:id="rId3" w:type="default"/>
          <w:pgSz w:w="11906" w:h="16838"/>
          <w:pgMar w:top="1440" w:right="1800" w:bottom="1440" w:left="1800" w:header="851" w:footer="992" w:gutter="0"/>
          <w:pgNumType w:start="1"/>
          <w:cols w:space="425" w:num="1"/>
          <w:docGrid w:type="lines" w:linePitch="312" w:charSpace="0"/>
        </w:sectPr>
      </w:pPr>
    </w:p>
    <w:p w14:paraId="5ADD9E57">
      <w:pPr>
        <w:widowControl/>
        <w:spacing w:line="500" w:lineRule="exact"/>
        <w:ind w:firstLine="640" w:firstLineChars="200"/>
        <w:jc w:val="left"/>
        <w:rPr>
          <w:rFonts w:ascii="Adobe 黑体 Std R" w:hAnsi="Adobe 黑体 Std R" w:eastAsia="Adobe 黑体 Std R"/>
          <w:sz w:val="32"/>
          <w:szCs w:val="32"/>
        </w:rPr>
      </w:pPr>
      <w:r>
        <w:rPr>
          <w:rFonts w:hint="eastAsia" w:ascii="Adobe 黑体 Std R" w:hAnsi="Adobe 黑体 Std R" w:eastAsia="Adobe 黑体 Std R"/>
          <w:sz w:val="32"/>
          <w:szCs w:val="32"/>
        </w:rPr>
        <w:t>一、工作概况</w:t>
      </w:r>
    </w:p>
    <w:p w14:paraId="03104A59">
      <w:pPr>
        <w:ind w:firstLine="643" w:firstLineChars="200"/>
        <w:rPr>
          <w:rFonts w:ascii="仿宋_GB2312" w:eastAsia="仿宋_GB2312"/>
          <w:b/>
          <w:sz w:val="32"/>
          <w:szCs w:val="32"/>
        </w:rPr>
      </w:pPr>
      <w:r>
        <w:rPr>
          <w:rFonts w:hint="eastAsia" w:ascii="仿宋_GB2312" w:eastAsia="仿宋_GB2312"/>
          <w:b/>
          <w:sz w:val="32"/>
          <w:szCs w:val="32"/>
        </w:rPr>
        <w:t>（一）任务来源</w:t>
      </w:r>
    </w:p>
    <w:p w14:paraId="2300EA89">
      <w:pPr>
        <w:ind w:firstLine="640" w:firstLineChars="200"/>
        <w:rPr>
          <w:rFonts w:ascii="仿宋_GB2312" w:eastAsia="仿宋_GB2312"/>
          <w:sz w:val="32"/>
          <w:szCs w:val="32"/>
        </w:rPr>
      </w:pPr>
      <w:r>
        <w:rPr>
          <w:rFonts w:hint="eastAsia" w:ascii="仿宋_GB2312" w:hAnsi="Adobe 黑体 Std R" w:eastAsia="仿宋_GB2312"/>
          <w:sz w:val="32"/>
          <w:szCs w:val="32"/>
        </w:rPr>
        <w:t>根据《陕西省市场监督管理局关于印发〈</w:t>
      </w:r>
      <w:r>
        <w:rPr>
          <w:rFonts w:ascii="仿宋_GB2312" w:hAnsi="Adobe 黑体 Std R" w:eastAsia="仿宋_GB2312"/>
          <w:sz w:val="32"/>
          <w:szCs w:val="32"/>
        </w:rPr>
        <w:t>2024年省级地方标准申报指南〉的通知》（陕市监发〔2024〕39号）</w:t>
      </w:r>
      <w:r>
        <w:rPr>
          <w:rFonts w:hint="eastAsia" w:ascii="仿宋_GB2312" w:hAnsi="Adobe 黑体 Std R" w:eastAsia="仿宋_GB2312"/>
          <w:sz w:val="32"/>
          <w:szCs w:val="32"/>
        </w:rPr>
        <w:t>、</w:t>
      </w:r>
      <w:r>
        <w:rPr>
          <w:rFonts w:ascii="仿宋_GB2312" w:hAnsi="Adobe 黑体 Std R" w:eastAsia="仿宋_GB2312"/>
          <w:sz w:val="32"/>
          <w:szCs w:val="32"/>
        </w:rPr>
        <w:t>《</w:t>
      </w:r>
      <w:r>
        <w:rPr>
          <w:rFonts w:hint="eastAsia" w:ascii="仿宋_GB2312" w:hAnsi="Adobe 黑体 Std R" w:eastAsia="仿宋_GB2312"/>
          <w:sz w:val="32"/>
          <w:szCs w:val="32"/>
        </w:rPr>
        <w:t>陕西省市场监督管理局关于下达</w:t>
      </w:r>
      <w:r>
        <w:rPr>
          <w:rFonts w:ascii="仿宋_GB2312" w:hAnsi="Adobe 黑体 Std R" w:eastAsia="仿宋_GB2312"/>
          <w:sz w:val="32"/>
          <w:szCs w:val="32"/>
        </w:rPr>
        <w:t>2024年第二批地方标准制修订计划的函</w:t>
      </w:r>
      <w:r>
        <w:rPr>
          <w:rFonts w:hint="eastAsia" w:ascii="仿宋_GB2312" w:hAnsi="Adobe 黑体 Std R" w:eastAsia="仿宋_GB2312"/>
          <w:sz w:val="32"/>
          <w:szCs w:val="32"/>
        </w:rPr>
        <w:t>》</w:t>
      </w:r>
      <w:r>
        <w:rPr>
          <w:rFonts w:ascii="仿宋_GB2312" w:hAnsi="Adobe 黑体 Std R" w:eastAsia="仿宋_GB2312"/>
          <w:sz w:val="32"/>
          <w:szCs w:val="32"/>
        </w:rPr>
        <w:t>（陕市监函〔2024〕590号）</w:t>
      </w:r>
      <w:r>
        <w:rPr>
          <w:rFonts w:hint="eastAsia" w:ascii="仿宋_GB2312" w:hAnsi="Adobe 黑体 Std R" w:eastAsia="仿宋_GB2312"/>
          <w:sz w:val="32"/>
          <w:szCs w:val="32"/>
        </w:rPr>
        <w:t>相关要求</w:t>
      </w:r>
      <w:r>
        <w:rPr>
          <w:rFonts w:ascii="仿宋_GB2312" w:eastAsia="仿宋_GB2312"/>
          <w:sz w:val="32"/>
          <w:szCs w:val="32"/>
        </w:rPr>
        <w:t>，</w:t>
      </w:r>
      <w:r>
        <w:rPr>
          <w:rFonts w:hint="eastAsia" w:ascii="仿宋_GB2312" w:eastAsia="仿宋_GB2312"/>
          <w:sz w:val="32"/>
          <w:szCs w:val="32"/>
        </w:rPr>
        <w:t>中国地质调查局西安矿产资源调查中心通过申报预审、立项评审，经陕西省市场监督管理局批准</w:t>
      </w:r>
      <w:r>
        <w:rPr>
          <w:rFonts w:hint="eastAsia" w:ascii="仿宋_GB2312" w:hAnsi="Adobe 黑体 Std R" w:eastAsia="仿宋_GB2312"/>
          <w:sz w:val="32"/>
          <w:szCs w:val="32"/>
        </w:rPr>
        <w:t>，</w:t>
      </w:r>
      <w:r>
        <w:rPr>
          <w:rFonts w:ascii="仿宋_GB2312" w:hAnsi="Adobe 黑体 Std R" w:eastAsia="仿宋_GB2312"/>
          <w:sz w:val="32"/>
          <w:szCs w:val="32"/>
        </w:rPr>
        <w:t>承担2024年第二批</w:t>
      </w:r>
      <w:r>
        <w:rPr>
          <w:rFonts w:hint="eastAsia" w:ascii="仿宋_GB2312" w:hAnsi="Adobe 黑体 Std R" w:eastAsia="仿宋_GB2312"/>
          <w:sz w:val="32"/>
          <w:szCs w:val="32"/>
        </w:rPr>
        <w:t>陕西省地方标准《固体矿产绿色勘查地质钻探技术规范》（项目编号</w:t>
      </w:r>
      <w:r>
        <w:rPr>
          <w:rFonts w:ascii="仿宋_GB2312" w:hAnsi="Adobe 黑体 Std R" w:eastAsia="仿宋_GB2312"/>
          <w:sz w:val="32"/>
          <w:szCs w:val="32"/>
        </w:rPr>
        <w:t>SDBXM 057-2024</w:t>
      </w:r>
      <w:r>
        <w:rPr>
          <w:rFonts w:hint="eastAsia" w:ascii="仿宋_GB2312" w:hAnsi="Adobe 黑体 Std R" w:eastAsia="仿宋_GB2312"/>
          <w:sz w:val="32"/>
          <w:szCs w:val="32"/>
        </w:rPr>
        <w:t>）</w:t>
      </w:r>
      <w:r>
        <w:rPr>
          <w:rFonts w:ascii="仿宋_GB2312" w:eastAsia="仿宋_GB2312"/>
          <w:sz w:val="32"/>
          <w:szCs w:val="32"/>
        </w:rPr>
        <w:t>的</w:t>
      </w:r>
      <w:r>
        <w:rPr>
          <w:rFonts w:hint="eastAsia" w:ascii="仿宋_GB2312" w:eastAsia="仿宋_GB2312"/>
          <w:sz w:val="32"/>
          <w:szCs w:val="32"/>
        </w:rPr>
        <w:t>制定计划项目。</w:t>
      </w:r>
    </w:p>
    <w:p w14:paraId="75325812">
      <w:pPr>
        <w:ind w:firstLine="640" w:firstLineChars="200"/>
        <w:rPr>
          <w:rFonts w:ascii="仿宋_GB2312" w:eastAsia="仿宋_GB2312"/>
          <w:sz w:val="32"/>
          <w:szCs w:val="32"/>
        </w:rPr>
      </w:pPr>
      <w:r>
        <w:rPr>
          <w:rFonts w:ascii="仿宋_GB2312" w:eastAsia="仿宋_GB2312"/>
          <w:sz w:val="32"/>
          <w:szCs w:val="32"/>
        </w:rPr>
        <w:t>该标准编制任务由</w:t>
      </w:r>
      <w:r>
        <w:rPr>
          <w:rFonts w:hint="eastAsia" w:ascii="仿宋_GB2312" w:eastAsia="仿宋_GB2312"/>
          <w:sz w:val="32"/>
          <w:szCs w:val="32"/>
        </w:rPr>
        <w:t>中国地质调查局西安矿产资源调查中心</w:t>
      </w:r>
      <w:r>
        <w:rPr>
          <w:rFonts w:ascii="仿宋_GB2312" w:eastAsia="仿宋_GB2312"/>
          <w:sz w:val="32"/>
          <w:szCs w:val="32"/>
        </w:rPr>
        <w:t>、</w:t>
      </w:r>
      <w:bookmarkStart w:id="0" w:name="OLE_LINK6"/>
      <w:bookmarkStart w:id="1" w:name="OLE_LINK7"/>
      <w:r>
        <w:rPr>
          <w:rFonts w:hint="eastAsia" w:ascii="仿宋_GB2312" w:eastAsia="仿宋_GB2312"/>
          <w:sz w:val="32"/>
          <w:szCs w:val="32"/>
        </w:rPr>
        <w:t>中国地质科学院勘探技术研究所、中陕核工业集团二一四大队有限公司</w:t>
      </w:r>
      <w:bookmarkEnd w:id="0"/>
      <w:bookmarkEnd w:id="1"/>
      <w:r>
        <w:rPr>
          <w:rFonts w:ascii="仿宋_GB2312" w:eastAsia="仿宋_GB2312"/>
          <w:sz w:val="32"/>
          <w:szCs w:val="32"/>
        </w:rPr>
        <w:t>共同完成</w:t>
      </w:r>
      <w:r>
        <w:rPr>
          <w:rFonts w:hint="eastAsia" w:ascii="仿宋_GB2312" w:eastAsia="仿宋_GB2312"/>
          <w:sz w:val="32"/>
          <w:szCs w:val="32"/>
        </w:rPr>
        <w:t>。</w:t>
      </w:r>
    </w:p>
    <w:p w14:paraId="27699444">
      <w:pPr>
        <w:ind w:firstLine="643" w:firstLineChars="200"/>
        <w:rPr>
          <w:rFonts w:ascii="仿宋_GB2312" w:eastAsia="仿宋_GB2312"/>
          <w:b/>
          <w:sz w:val="32"/>
          <w:szCs w:val="32"/>
        </w:rPr>
      </w:pPr>
      <w:r>
        <w:rPr>
          <w:rFonts w:hint="eastAsia" w:ascii="仿宋_GB2312" w:eastAsia="仿宋_GB2312"/>
          <w:b/>
          <w:sz w:val="32"/>
          <w:szCs w:val="32"/>
        </w:rPr>
        <w:t>（二）目的意义</w:t>
      </w:r>
    </w:p>
    <w:p w14:paraId="1869B392">
      <w:pPr>
        <w:ind w:firstLine="640" w:firstLineChars="200"/>
        <w:rPr>
          <w:rFonts w:ascii="仿宋_GB2312" w:eastAsia="仿宋_GB2312"/>
          <w:sz w:val="32"/>
          <w:szCs w:val="32"/>
        </w:rPr>
      </w:pPr>
      <w:r>
        <w:rPr>
          <w:rFonts w:ascii="仿宋_GB2312" w:eastAsia="仿宋_GB2312"/>
          <w:sz w:val="32"/>
          <w:szCs w:val="32"/>
        </w:rPr>
        <w:t>陕西省</w:t>
      </w:r>
      <w:r>
        <w:rPr>
          <w:rFonts w:hint="eastAsia" w:ascii="仿宋_GB2312" w:eastAsia="仿宋_GB2312"/>
          <w:sz w:val="32"/>
          <w:szCs w:val="32"/>
        </w:rPr>
        <w:t>地质景观与生态环境多样，林地</w:t>
      </w:r>
      <w:r>
        <w:rPr>
          <w:rFonts w:ascii="仿宋_GB2312" w:eastAsia="仿宋_GB2312"/>
          <w:sz w:val="32"/>
          <w:szCs w:val="32"/>
        </w:rPr>
        <w:t>、</w:t>
      </w:r>
      <w:r>
        <w:rPr>
          <w:rFonts w:hint="eastAsia" w:ascii="仿宋_GB2312" w:eastAsia="仿宋_GB2312"/>
          <w:sz w:val="32"/>
          <w:szCs w:val="32"/>
        </w:rPr>
        <w:t>草地</w:t>
      </w:r>
      <w:r>
        <w:rPr>
          <w:rFonts w:ascii="仿宋_GB2312" w:eastAsia="仿宋_GB2312"/>
          <w:sz w:val="32"/>
          <w:szCs w:val="32"/>
        </w:rPr>
        <w:t>、湿地、荒漠</w:t>
      </w:r>
      <w:r>
        <w:rPr>
          <w:rFonts w:hint="eastAsia" w:ascii="仿宋_GB2312" w:eastAsia="仿宋_GB2312"/>
          <w:sz w:val="32"/>
          <w:szCs w:val="32"/>
        </w:rPr>
        <w:t>等景观</w:t>
      </w:r>
      <w:r>
        <w:rPr>
          <w:rFonts w:ascii="仿宋_GB2312" w:eastAsia="仿宋_GB2312"/>
          <w:sz w:val="32"/>
          <w:szCs w:val="32"/>
        </w:rPr>
        <w:t>均有分布</w:t>
      </w:r>
      <w:r>
        <w:rPr>
          <w:rFonts w:hint="eastAsia" w:ascii="仿宋_GB2312" w:eastAsia="仿宋_GB2312"/>
          <w:sz w:val="32"/>
          <w:szCs w:val="32"/>
        </w:rPr>
        <w:t>，</w:t>
      </w:r>
      <w:r>
        <w:rPr>
          <w:rFonts w:ascii="仿宋_GB2312" w:eastAsia="仿宋_GB2312"/>
          <w:sz w:val="32"/>
          <w:szCs w:val="32"/>
        </w:rPr>
        <w:t>自北至南分为陕北、关中、陕南三大地理区</w:t>
      </w:r>
      <w:r>
        <w:rPr>
          <w:rFonts w:hint="eastAsia" w:ascii="仿宋_GB2312" w:eastAsia="仿宋_GB2312"/>
          <w:sz w:val="32"/>
          <w:szCs w:val="32"/>
        </w:rPr>
        <w:t>，</w:t>
      </w:r>
      <w:r>
        <w:rPr>
          <w:rFonts w:ascii="仿宋_GB2312" w:eastAsia="仿宋_GB2312"/>
          <w:sz w:val="32"/>
          <w:szCs w:val="32"/>
        </w:rPr>
        <w:t>长城沿线</w:t>
      </w:r>
      <w:r>
        <w:rPr>
          <w:rFonts w:hint="eastAsia" w:ascii="仿宋_GB2312" w:eastAsia="仿宋_GB2312"/>
          <w:sz w:val="32"/>
          <w:szCs w:val="32"/>
        </w:rPr>
        <w:t>的</w:t>
      </w:r>
      <w:r>
        <w:rPr>
          <w:rFonts w:ascii="仿宋_GB2312" w:eastAsia="仿宋_GB2312"/>
          <w:sz w:val="32"/>
          <w:szCs w:val="32"/>
        </w:rPr>
        <w:t>风沙滩地</w:t>
      </w:r>
      <w:r>
        <w:rPr>
          <w:rFonts w:hint="eastAsia" w:ascii="仿宋_GB2312" w:eastAsia="仿宋_GB2312"/>
          <w:sz w:val="32"/>
          <w:szCs w:val="32"/>
        </w:rPr>
        <w:t>生态脆弱区</w:t>
      </w:r>
      <w:r>
        <w:rPr>
          <w:rFonts w:ascii="仿宋_GB2312" w:eastAsia="仿宋_GB2312"/>
          <w:sz w:val="32"/>
          <w:szCs w:val="32"/>
        </w:rPr>
        <w:t>、黄土高原</w:t>
      </w:r>
      <w:r>
        <w:rPr>
          <w:rFonts w:hint="eastAsia" w:ascii="仿宋_GB2312" w:eastAsia="仿宋_GB2312"/>
          <w:sz w:val="32"/>
          <w:szCs w:val="32"/>
        </w:rPr>
        <w:t>丘陵沟壑区</w:t>
      </w:r>
      <w:r>
        <w:rPr>
          <w:rFonts w:ascii="仿宋_GB2312" w:eastAsia="仿宋_GB2312"/>
          <w:sz w:val="32"/>
          <w:szCs w:val="32"/>
        </w:rPr>
        <w:t>、关中渭河平原</w:t>
      </w:r>
      <w:r>
        <w:rPr>
          <w:rFonts w:hint="eastAsia" w:ascii="仿宋_GB2312" w:eastAsia="仿宋_GB2312"/>
          <w:sz w:val="32"/>
          <w:szCs w:val="32"/>
        </w:rPr>
        <w:t>农耕区</w:t>
      </w:r>
      <w:r>
        <w:rPr>
          <w:rFonts w:ascii="仿宋_GB2312" w:eastAsia="仿宋_GB2312"/>
          <w:sz w:val="32"/>
          <w:szCs w:val="32"/>
        </w:rPr>
        <w:t>、秦</w:t>
      </w:r>
      <w:r>
        <w:rPr>
          <w:rFonts w:hint="eastAsia" w:ascii="仿宋_GB2312" w:eastAsia="仿宋_GB2312"/>
          <w:sz w:val="32"/>
          <w:szCs w:val="32"/>
        </w:rPr>
        <w:t>巴</w:t>
      </w:r>
      <w:r>
        <w:rPr>
          <w:rFonts w:ascii="仿宋_GB2312" w:eastAsia="仿宋_GB2312"/>
          <w:sz w:val="32"/>
          <w:szCs w:val="32"/>
        </w:rPr>
        <w:t>山地</w:t>
      </w:r>
      <w:r>
        <w:rPr>
          <w:rFonts w:hint="eastAsia" w:ascii="仿宋_GB2312" w:eastAsia="仿宋_GB2312"/>
          <w:sz w:val="32"/>
          <w:szCs w:val="32"/>
        </w:rPr>
        <w:t>植被覆盖区</w:t>
      </w:r>
      <w:r>
        <w:rPr>
          <w:rFonts w:ascii="仿宋_GB2312" w:eastAsia="仿宋_GB2312"/>
          <w:sz w:val="32"/>
          <w:szCs w:val="32"/>
        </w:rPr>
        <w:t>。</w:t>
      </w:r>
      <w:r>
        <w:rPr>
          <w:rFonts w:hint="eastAsia" w:ascii="仿宋_GB2312" w:eastAsia="仿宋_GB2312"/>
          <w:sz w:val="32"/>
          <w:szCs w:val="32"/>
        </w:rPr>
        <w:t>陕西境内自然资源丰富，</w:t>
      </w:r>
      <w:r>
        <w:rPr>
          <w:rFonts w:ascii="仿宋_GB2312" w:eastAsia="仿宋_GB2312"/>
          <w:sz w:val="32"/>
          <w:szCs w:val="32"/>
        </w:rPr>
        <w:t>是国家重要能源化工基地</w:t>
      </w:r>
      <w:r>
        <w:rPr>
          <w:rFonts w:hint="eastAsia" w:ascii="仿宋_GB2312" w:eastAsia="仿宋_GB2312"/>
          <w:sz w:val="32"/>
          <w:szCs w:val="32"/>
        </w:rPr>
        <w:t>、</w:t>
      </w:r>
      <w:r>
        <w:rPr>
          <w:rFonts w:ascii="仿宋_GB2312" w:eastAsia="仿宋_GB2312"/>
          <w:sz w:val="32"/>
          <w:szCs w:val="32"/>
        </w:rPr>
        <w:t>战略性金属和非金属矿产资源基地。</w:t>
      </w:r>
    </w:p>
    <w:p w14:paraId="2A1AAABA">
      <w:pPr>
        <w:ind w:firstLine="640" w:firstLineChars="200"/>
        <w:rPr>
          <w:rFonts w:ascii="仿宋_GB2312" w:eastAsia="仿宋_GB2312"/>
          <w:sz w:val="32"/>
          <w:szCs w:val="32"/>
        </w:rPr>
      </w:pPr>
      <w:r>
        <w:rPr>
          <w:rFonts w:hint="eastAsia" w:ascii="仿宋_GB2312" w:eastAsia="仿宋_GB2312"/>
          <w:sz w:val="32"/>
          <w:szCs w:val="32"/>
        </w:rPr>
        <w:t>在地质勘查工作中，地质测量、地球物理勘查、地球化学勘查以及遥感地质调查等技术手段对生态环境影响较小，钻探工程具有地表破坏强度大，环境污染源多（液体、固体以及气体污染物），扰动周期长等特点。</w:t>
      </w:r>
    </w:p>
    <w:p w14:paraId="5C146E5F">
      <w:pPr>
        <w:ind w:firstLine="640" w:firstLineChars="200"/>
        <w:rPr>
          <w:rFonts w:ascii="仿宋_GB2312" w:eastAsia="仿宋_GB2312"/>
          <w:sz w:val="32"/>
          <w:szCs w:val="32"/>
        </w:rPr>
      </w:pPr>
      <w:r>
        <w:rPr>
          <w:rFonts w:hint="eastAsia" w:ascii="仿宋_GB2312" w:eastAsia="仿宋_GB2312"/>
          <w:sz w:val="32"/>
          <w:szCs w:val="32"/>
        </w:rPr>
        <w:t>目前，陕西省尚无绿色勘查方面的标准，且省内各地勘单位对绿色勘查工作理解认识不一致、工作粗细程度不统一、相关监督管理要求参差不齐，一些项目在实施钻探工程的过程中不因地制宜、科学管控，造成生态环境影响范围扩大化，工后环境恢复治理的检查验收标准尚无参考依据，这些问题不符合生态文明建设发展的理念。</w:t>
      </w:r>
    </w:p>
    <w:p w14:paraId="16DB1352">
      <w:pPr>
        <w:ind w:firstLine="640" w:firstLineChars="200"/>
        <w:rPr>
          <w:rFonts w:ascii="仿宋_GB2312" w:eastAsia="仿宋_GB2312"/>
          <w:sz w:val="32"/>
          <w:szCs w:val="32"/>
        </w:rPr>
      </w:pPr>
      <w:r>
        <w:rPr>
          <w:rFonts w:hint="eastAsia" w:ascii="仿宋_GB2312" w:eastAsia="仿宋_GB2312"/>
          <w:sz w:val="32"/>
          <w:szCs w:val="32"/>
        </w:rPr>
        <w:t>因此，为做好矿产资源探矿领域的生态环保工作，规范我省企、事业地勘单位探矿行为，急需制定适合我省有关绿色钻探的相关技术规范，其意义重大，这将有力助推我省地质勘查领域的生态环保工作高质量发展。</w:t>
      </w:r>
    </w:p>
    <w:p w14:paraId="6D80FE56">
      <w:pPr>
        <w:ind w:firstLine="643" w:firstLineChars="200"/>
        <w:rPr>
          <w:rFonts w:ascii="仿宋_GB2312" w:eastAsia="仿宋_GB2312"/>
          <w:b/>
          <w:sz w:val="32"/>
          <w:szCs w:val="32"/>
        </w:rPr>
      </w:pPr>
      <w:r>
        <w:rPr>
          <w:rFonts w:hint="eastAsia" w:ascii="仿宋_GB2312" w:eastAsia="仿宋_GB2312"/>
          <w:b/>
          <w:sz w:val="32"/>
          <w:szCs w:val="32"/>
        </w:rPr>
        <w:t>（三）主导单位</w:t>
      </w:r>
    </w:p>
    <w:p w14:paraId="08AA2960">
      <w:pPr>
        <w:ind w:firstLine="640" w:firstLineChars="200"/>
        <w:rPr>
          <w:rFonts w:ascii="仿宋_GB2312" w:eastAsia="仿宋_GB2312"/>
          <w:sz w:val="32"/>
          <w:szCs w:val="32"/>
        </w:rPr>
      </w:pPr>
      <w:r>
        <w:rPr>
          <w:rFonts w:hint="eastAsia" w:ascii="仿宋_GB2312" w:eastAsia="仿宋_GB2312"/>
          <w:sz w:val="32"/>
          <w:szCs w:val="32"/>
        </w:rPr>
        <w:t>中国地质调查局西安矿产资源调查中心</w:t>
      </w:r>
    </w:p>
    <w:p w14:paraId="0301EC5E">
      <w:pPr>
        <w:ind w:firstLine="643" w:firstLineChars="200"/>
        <w:rPr>
          <w:rFonts w:ascii="仿宋_GB2312" w:eastAsia="仿宋_GB2312"/>
          <w:b/>
          <w:sz w:val="32"/>
          <w:szCs w:val="32"/>
        </w:rPr>
      </w:pPr>
      <w:r>
        <w:rPr>
          <w:rFonts w:hint="eastAsia" w:ascii="仿宋_GB2312" w:eastAsia="仿宋_GB2312"/>
          <w:b/>
          <w:sz w:val="32"/>
          <w:szCs w:val="32"/>
        </w:rPr>
        <w:t>（四）主要工作过程</w:t>
      </w:r>
    </w:p>
    <w:p w14:paraId="7BD5973B">
      <w:pPr>
        <w:ind w:firstLine="640" w:firstLineChars="200"/>
        <w:rPr>
          <w:rFonts w:ascii="仿宋_GB2312" w:eastAsia="仿宋_GB2312"/>
          <w:sz w:val="32"/>
          <w:szCs w:val="32"/>
        </w:rPr>
      </w:pPr>
      <w:r>
        <w:rPr>
          <w:rFonts w:hint="eastAsia" w:ascii="仿宋_GB2312" w:eastAsia="仿宋_GB2312"/>
          <w:sz w:val="32"/>
          <w:szCs w:val="32"/>
        </w:rPr>
        <w:t>标准的编制工作分为两个阶段。</w:t>
      </w:r>
    </w:p>
    <w:p w14:paraId="4C179E68">
      <w:pPr>
        <w:ind w:firstLine="640" w:firstLineChars="200"/>
        <w:rPr>
          <w:rFonts w:ascii="仿宋_GB2312" w:eastAsia="仿宋_GB2312"/>
          <w:sz w:val="32"/>
          <w:szCs w:val="32"/>
        </w:rPr>
      </w:pPr>
      <w:r>
        <w:rPr>
          <w:rFonts w:hint="eastAsia" w:ascii="仿宋_GB2312" w:eastAsia="仿宋_GB2312"/>
          <w:sz w:val="32"/>
          <w:szCs w:val="32"/>
        </w:rPr>
        <w:t>第一阶段：调研与实践（</w:t>
      </w:r>
      <w:r>
        <w:rPr>
          <w:rFonts w:ascii="仿宋_GB2312" w:eastAsia="仿宋_GB2312"/>
          <w:sz w:val="32"/>
          <w:szCs w:val="32"/>
        </w:rPr>
        <w:t>2023年10月</w:t>
      </w:r>
      <w:r>
        <w:rPr>
          <w:rFonts w:hint="eastAsia" w:ascii="仿宋_GB2312" w:eastAsia="仿宋_GB2312"/>
          <w:sz w:val="32"/>
          <w:szCs w:val="32"/>
        </w:rPr>
        <w:t>-</w:t>
      </w:r>
      <w:r>
        <w:rPr>
          <w:rFonts w:ascii="仿宋_GB2312" w:eastAsia="仿宋_GB2312"/>
          <w:sz w:val="32"/>
          <w:szCs w:val="32"/>
        </w:rPr>
        <w:t>2024年11月）。</w:t>
      </w:r>
      <w:r>
        <w:rPr>
          <w:rFonts w:hint="eastAsia" w:ascii="仿宋_GB2312" w:eastAsia="仿宋_GB2312"/>
          <w:sz w:val="32"/>
          <w:szCs w:val="32"/>
        </w:rPr>
        <w:t>标准编制</w:t>
      </w:r>
      <w:r>
        <w:rPr>
          <w:rFonts w:hint="eastAsia" w:ascii="仿宋_GB2312" w:hAnsi="仿宋" w:eastAsia="仿宋_GB2312"/>
          <w:sz w:val="32"/>
          <w:szCs w:val="32"/>
        </w:rPr>
        <w:t>工作组通过查询文献资料、走访行业企事业单位，掌握了国内外绿色勘查工作进展现状，梳理了陕西省相关部门下发的有关绿色勘查方面的政策要求。近些年来，国内绿色勘查工作从技术、管理、实践和法规标准等方面都取得了众多成效，国内现行有关绿色勘查行业标准1项、团体标准3项、地方标准1</w:t>
      </w:r>
      <w:r>
        <w:rPr>
          <w:rFonts w:ascii="仿宋_GB2312" w:hAnsi="仿宋" w:eastAsia="仿宋_GB2312"/>
          <w:sz w:val="32"/>
          <w:szCs w:val="32"/>
        </w:rPr>
        <w:t>4</w:t>
      </w:r>
      <w:r>
        <w:rPr>
          <w:rFonts w:hint="eastAsia" w:ascii="仿宋_GB2312" w:hAnsi="仿宋" w:eastAsia="仿宋_GB2312"/>
          <w:sz w:val="32"/>
          <w:szCs w:val="32"/>
        </w:rPr>
        <w:t>项。绿色勘查</w:t>
      </w:r>
      <w:r>
        <w:rPr>
          <w:rFonts w:ascii="仿宋_GB2312" w:eastAsia="仿宋_GB2312"/>
          <w:sz w:val="32"/>
          <w:szCs w:val="32"/>
        </w:rPr>
        <w:t>作为地质</w:t>
      </w:r>
      <w:r>
        <w:rPr>
          <w:rFonts w:hint="eastAsia" w:ascii="仿宋_GB2312" w:eastAsia="仿宋_GB2312"/>
          <w:sz w:val="32"/>
          <w:szCs w:val="32"/>
        </w:rPr>
        <w:t>探矿工作转型发展的新赛道，在全国范围内绿色勘查仍处于不断探索和积累深化阶段，陕西省尚未发布相关标准规范。自</w:t>
      </w:r>
      <w:r>
        <w:rPr>
          <w:rFonts w:ascii="仿宋_GB2312" w:eastAsia="仿宋_GB2312"/>
          <w:sz w:val="32"/>
          <w:szCs w:val="32"/>
        </w:rPr>
        <w:t>2020年起，团队</w:t>
      </w:r>
      <w:r>
        <w:rPr>
          <w:rFonts w:hint="eastAsia" w:ascii="仿宋_GB2312" w:eastAsia="仿宋_GB2312"/>
          <w:sz w:val="32"/>
          <w:szCs w:val="32"/>
        </w:rPr>
        <w:t>相关</w:t>
      </w:r>
      <w:r>
        <w:rPr>
          <w:rFonts w:ascii="仿宋_GB2312" w:eastAsia="仿宋_GB2312"/>
          <w:sz w:val="32"/>
          <w:szCs w:val="32"/>
        </w:rPr>
        <w:t>成员</w:t>
      </w:r>
      <w:r>
        <w:rPr>
          <w:rFonts w:hint="eastAsia" w:ascii="仿宋_GB2312" w:eastAsia="仿宋_GB2312"/>
          <w:sz w:val="32"/>
          <w:szCs w:val="32"/>
        </w:rPr>
        <w:t>已经逐步参与国内绿色勘查领域的相关培训、行业会议和专项工作研讨会，同时开始探索绿色勘查工作方法、技术工艺和施工组织管理，并在陕西省境内，依托“陕西省宁陕县杨泗庙</w:t>
      </w:r>
      <w:r>
        <w:rPr>
          <w:rFonts w:ascii="仿宋_GB2312" w:eastAsia="仿宋_GB2312"/>
          <w:sz w:val="32"/>
          <w:szCs w:val="32"/>
        </w:rPr>
        <w:t>-懒板凳一带钨钼多金属矿预查</w:t>
      </w:r>
      <w:r>
        <w:rPr>
          <w:rFonts w:hint="eastAsia" w:ascii="仿宋_GB2312" w:eastAsia="仿宋_GB2312"/>
          <w:sz w:val="32"/>
          <w:szCs w:val="32"/>
        </w:rPr>
        <w:t>（</w:t>
      </w:r>
      <w:r>
        <w:rPr>
          <w:rFonts w:ascii="仿宋_GB2312" w:eastAsia="仿宋_GB2312"/>
          <w:sz w:val="32"/>
          <w:szCs w:val="32"/>
        </w:rPr>
        <w:t>61201506229</w:t>
      </w:r>
      <w:r>
        <w:rPr>
          <w:rFonts w:hint="eastAsia" w:ascii="仿宋_GB2312" w:eastAsia="仿宋_GB2312"/>
          <w:sz w:val="32"/>
          <w:szCs w:val="32"/>
        </w:rPr>
        <w:t>）”、“陕西省宁强县中坝寨子湾</w:t>
      </w:r>
      <w:r>
        <w:rPr>
          <w:rFonts w:ascii="仿宋_GB2312" w:eastAsia="仿宋_GB2312"/>
          <w:sz w:val="32"/>
          <w:szCs w:val="32"/>
        </w:rPr>
        <w:t>-王家湾地区（含刘家坪铜锌矿外围）金银多金属矿预查</w:t>
      </w:r>
      <w:r>
        <w:rPr>
          <w:rFonts w:hint="eastAsia" w:ascii="仿宋_GB2312" w:eastAsia="仿宋_GB2312"/>
          <w:sz w:val="32"/>
          <w:szCs w:val="32"/>
        </w:rPr>
        <w:t>（</w:t>
      </w:r>
      <w:r>
        <w:rPr>
          <w:rFonts w:ascii="仿宋_GB2312" w:eastAsia="仿宋_GB2312"/>
          <w:sz w:val="32"/>
          <w:szCs w:val="32"/>
        </w:rPr>
        <w:t>61201405264</w:t>
      </w:r>
      <w:r>
        <w:rPr>
          <w:rFonts w:hint="eastAsia" w:ascii="仿宋_GB2312" w:eastAsia="仿宋_GB2312"/>
          <w:sz w:val="32"/>
          <w:szCs w:val="32"/>
        </w:rPr>
        <w:t>）”、“陕西省宁强县黄泥坪地区汉树沟矿段金矿详查</w:t>
      </w:r>
      <w:r>
        <w:rPr>
          <w:rFonts w:ascii="仿宋_GB2312" w:eastAsia="仿宋_GB2312"/>
          <w:sz w:val="32"/>
          <w:szCs w:val="32"/>
        </w:rPr>
        <w:t>(2024D001)</w:t>
      </w:r>
      <w:r>
        <w:rPr>
          <w:rFonts w:hint="eastAsia" w:ascii="仿宋_GB2312" w:eastAsia="仿宋_GB2312"/>
          <w:sz w:val="32"/>
          <w:szCs w:val="32"/>
        </w:rPr>
        <w:t>”、“</w:t>
      </w:r>
      <w:bookmarkStart w:id="2" w:name="OLE_LINK11"/>
      <w:r>
        <w:rPr>
          <w:rFonts w:hint="eastAsia" w:ascii="仿宋_GB2312" w:eastAsia="仿宋_GB2312"/>
          <w:sz w:val="32"/>
          <w:szCs w:val="32"/>
        </w:rPr>
        <w:t>南秦岭旬北地区金锑找矿靶区优选与评价（</w:t>
      </w:r>
      <w:r>
        <w:rPr>
          <w:rFonts w:ascii="仿宋_GB2312" w:eastAsia="仿宋_GB2312"/>
          <w:sz w:val="32"/>
          <w:szCs w:val="32"/>
        </w:rPr>
        <w:t>DD20230370</w:t>
      </w:r>
      <w:r>
        <w:rPr>
          <w:rFonts w:hint="eastAsia" w:ascii="仿宋_GB2312" w:eastAsia="仿宋_GB2312"/>
          <w:sz w:val="32"/>
          <w:szCs w:val="32"/>
        </w:rPr>
        <w:t>）</w:t>
      </w:r>
      <w:bookmarkEnd w:id="2"/>
      <w:r>
        <w:rPr>
          <w:rFonts w:hint="eastAsia" w:ascii="仿宋_GB2312" w:eastAsia="仿宋_GB2312"/>
          <w:sz w:val="32"/>
          <w:szCs w:val="32"/>
        </w:rPr>
        <w:t>”、“秦岭地区金银矿产资源勘查（DD202</w:t>
      </w:r>
      <w:r>
        <w:rPr>
          <w:rFonts w:ascii="仿宋_GB2312" w:eastAsia="仿宋_GB2312"/>
          <w:sz w:val="32"/>
          <w:szCs w:val="32"/>
        </w:rPr>
        <w:t>0</w:t>
      </w:r>
      <w:r>
        <w:rPr>
          <w:rFonts w:hint="eastAsia" w:ascii="仿宋_GB2312" w:eastAsia="仿宋_GB2312"/>
          <w:sz w:val="32"/>
          <w:szCs w:val="32"/>
        </w:rPr>
        <w:t>8008）”、“</w:t>
      </w:r>
      <w:r>
        <w:rPr>
          <w:rFonts w:ascii="仿宋_GB2312" w:eastAsia="仿宋_GB2312"/>
          <w:sz w:val="32"/>
          <w:szCs w:val="32"/>
        </w:rPr>
        <w:t>南水北调汉江流域陕西段水生态修复支撑调查</w:t>
      </w:r>
      <w:r>
        <w:rPr>
          <w:rFonts w:hint="eastAsia" w:ascii="仿宋_GB2312" w:eastAsia="仿宋_GB2312"/>
          <w:sz w:val="32"/>
          <w:szCs w:val="32"/>
        </w:rPr>
        <w:t>（DD</w:t>
      </w:r>
      <w:r>
        <w:rPr>
          <w:rFonts w:ascii="仿宋_GB2312" w:eastAsia="仿宋_GB2312"/>
          <w:sz w:val="32"/>
          <w:szCs w:val="32"/>
        </w:rPr>
        <w:t>20208068</w:t>
      </w:r>
      <w:r>
        <w:rPr>
          <w:rFonts w:hint="eastAsia" w:ascii="仿宋_GB2312" w:eastAsia="仿宋_GB2312"/>
          <w:sz w:val="32"/>
          <w:szCs w:val="32"/>
        </w:rPr>
        <w:t>）”以及“东秦岭高岭沟-五里川一带锑金矿产调查评价（DD</w:t>
      </w:r>
      <w:r>
        <w:rPr>
          <w:rFonts w:ascii="仿宋_GB2312" w:eastAsia="仿宋_GB2312"/>
          <w:sz w:val="32"/>
          <w:szCs w:val="32"/>
        </w:rPr>
        <w:t>20220966</w:t>
      </w:r>
      <w:r>
        <w:rPr>
          <w:rFonts w:hint="eastAsia" w:ascii="仿宋_GB2312" w:eastAsia="仿宋_GB2312"/>
          <w:sz w:val="32"/>
          <w:szCs w:val="32"/>
        </w:rPr>
        <w:t>）”等</w:t>
      </w:r>
      <w:r>
        <w:rPr>
          <w:rFonts w:ascii="仿宋_GB2312" w:eastAsia="仿宋_GB2312"/>
          <w:sz w:val="32"/>
          <w:szCs w:val="32"/>
        </w:rPr>
        <w:t>7</w:t>
      </w:r>
      <w:r>
        <w:rPr>
          <w:rFonts w:hint="eastAsia" w:ascii="仿宋_GB2312" w:eastAsia="仿宋_GB2312"/>
          <w:sz w:val="32"/>
          <w:szCs w:val="32"/>
        </w:rPr>
        <w:t>个项目进行研究探索、试点和推广应用，发表相关科技论文</w:t>
      </w:r>
      <w:r>
        <w:rPr>
          <w:rFonts w:ascii="仿宋_GB2312" w:eastAsia="仿宋_GB2312"/>
          <w:sz w:val="32"/>
          <w:szCs w:val="32"/>
        </w:rPr>
        <w:t>3</w:t>
      </w:r>
      <w:r>
        <w:rPr>
          <w:rFonts w:hint="eastAsia" w:ascii="仿宋_GB2312" w:eastAsia="仿宋_GB2312"/>
          <w:sz w:val="32"/>
          <w:szCs w:val="32"/>
        </w:rPr>
        <w:t>篇，授权专利</w:t>
      </w:r>
      <w:r>
        <w:rPr>
          <w:rFonts w:ascii="仿宋_GB2312" w:eastAsia="仿宋_GB2312"/>
          <w:sz w:val="32"/>
          <w:szCs w:val="32"/>
        </w:rPr>
        <w:t>5</w:t>
      </w:r>
      <w:r>
        <w:rPr>
          <w:rFonts w:hint="eastAsia" w:ascii="仿宋_GB2312" w:eastAsia="仿宋_GB2312"/>
          <w:sz w:val="32"/>
          <w:szCs w:val="32"/>
        </w:rPr>
        <w:t>项，登记软件著作</w:t>
      </w:r>
      <w:r>
        <w:rPr>
          <w:rFonts w:ascii="仿宋_GB2312" w:eastAsia="仿宋_GB2312"/>
          <w:sz w:val="32"/>
          <w:szCs w:val="32"/>
        </w:rPr>
        <w:t>1</w:t>
      </w:r>
      <w:r>
        <w:rPr>
          <w:rFonts w:hint="eastAsia" w:ascii="仿宋_GB2312" w:eastAsia="仿宋_GB2312"/>
          <w:sz w:val="32"/>
          <w:szCs w:val="32"/>
        </w:rPr>
        <w:t>项，获得了宝贵的技术经验和实践基础，并在甘肃、内蒙、青海、新疆等地区因地制宜进行了试点和推广应用。</w:t>
      </w:r>
    </w:p>
    <w:p w14:paraId="4124E2CF">
      <w:pPr>
        <w:ind w:firstLine="640" w:firstLineChars="200"/>
        <w:rPr>
          <w:rFonts w:ascii="仿宋_GB2312" w:eastAsia="仿宋_GB2312"/>
          <w:sz w:val="32"/>
          <w:szCs w:val="32"/>
        </w:rPr>
      </w:pPr>
      <w:r>
        <w:rPr>
          <w:rFonts w:hint="eastAsia" w:ascii="仿宋_GB2312" w:eastAsia="仿宋_GB2312"/>
          <w:sz w:val="32"/>
          <w:szCs w:val="32"/>
        </w:rPr>
        <w:t>第二阶段：标准起草、讨论修改和内审（</w:t>
      </w:r>
      <w:r>
        <w:rPr>
          <w:rFonts w:ascii="仿宋_GB2312" w:eastAsia="仿宋_GB2312"/>
          <w:sz w:val="32"/>
          <w:szCs w:val="32"/>
        </w:rPr>
        <w:t>2024年12月</w:t>
      </w:r>
      <w:r>
        <w:rPr>
          <w:rFonts w:hint="eastAsia" w:ascii="仿宋_GB2312" w:eastAsia="仿宋_GB2312"/>
          <w:sz w:val="32"/>
          <w:szCs w:val="32"/>
        </w:rPr>
        <w:t>-</w:t>
      </w:r>
      <w:r>
        <w:rPr>
          <w:rFonts w:ascii="仿宋_GB2312" w:eastAsia="仿宋_GB2312"/>
          <w:sz w:val="32"/>
          <w:szCs w:val="32"/>
        </w:rPr>
        <w:t>2025年 2月）。</w:t>
      </w:r>
      <w:r>
        <w:rPr>
          <w:rFonts w:hint="eastAsia" w:ascii="仿宋_GB2312" w:hAnsi="仿宋" w:eastAsia="仿宋_GB2312"/>
          <w:sz w:val="32"/>
          <w:szCs w:val="32"/>
        </w:rPr>
        <w:t>本着标准实用和好用的理念，编制工作组经过广泛调研、深入分析、实践验证，在总结梳理国内绿色勘查实践成果、试点应用效果以及相关绿色勘查标准的基础上，</w:t>
      </w:r>
      <w:r>
        <w:rPr>
          <w:rFonts w:hint="eastAsia" w:ascii="仿宋_GB2312" w:eastAsia="仿宋_GB2312"/>
          <w:sz w:val="32"/>
          <w:szCs w:val="32"/>
        </w:rPr>
        <w:t>经过多次内部讨论修改，根据最新资料、实践经验和各方专家意见建议，查缺补漏，于</w:t>
      </w:r>
      <w:r>
        <w:rPr>
          <w:rFonts w:ascii="仿宋_GB2312" w:eastAsia="仿宋_GB2312"/>
          <w:sz w:val="32"/>
          <w:szCs w:val="32"/>
        </w:rPr>
        <w:t>2025年1月完成了</w:t>
      </w:r>
      <w:r>
        <w:rPr>
          <w:rFonts w:hint="eastAsia" w:ascii="仿宋_GB2312" w:eastAsia="仿宋_GB2312"/>
          <w:sz w:val="32"/>
          <w:szCs w:val="32"/>
        </w:rPr>
        <w:t>标准草案。随后按照《标准化工作导则第</w:t>
      </w:r>
      <w:r>
        <w:rPr>
          <w:rFonts w:ascii="仿宋_GB2312" w:eastAsia="仿宋_GB2312"/>
          <w:sz w:val="32"/>
          <w:szCs w:val="32"/>
        </w:rPr>
        <w:t>1部分：标准化文件的结构和起草规则》（GB/T1.1-2020）要求，于2025年2月对标准草案格式和书写进行了规范，</w:t>
      </w:r>
      <w:r>
        <w:rPr>
          <w:rFonts w:hint="eastAsia" w:ascii="仿宋_GB2312" w:eastAsia="仿宋_GB2312"/>
          <w:sz w:val="32"/>
          <w:szCs w:val="32"/>
        </w:rPr>
        <w:t>并经内部评审，</w:t>
      </w:r>
      <w:r>
        <w:rPr>
          <w:rFonts w:ascii="仿宋_GB2312" w:eastAsia="仿宋_GB2312"/>
          <w:sz w:val="32"/>
          <w:szCs w:val="32"/>
        </w:rPr>
        <w:t>最</w:t>
      </w:r>
      <w:r>
        <w:rPr>
          <w:rFonts w:hint="eastAsia" w:ascii="仿宋_GB2312" w:eastAsia="仿宋_GB2312"/>
          <w:sz w:val="32"/>
          <w:szCs w:val="32"/>
        </w:rPr>
        <w:t>终形成了</w:t>
      </w:r>
      <w:r>
        <w:rPr>
          <w:rFonts w:hint="eastAsia" w:ascii="仿宋_GB2312" w:hAnsi="仿宋" w:eastAsia="仿宋_GB2312"/>
          <w:sz w:val="32"/>
          <w:szCs w:val="32"/>
        </w:rPr>
        <w:t>《</w:t>
      </w:r>
      <w:r>
        <w:rPr>
          <w:rFonts w:hint="eastAsia" w:ascii="仿宋_GB2312" w:hAnsi="Adobe 黑体 Std R" w:eastAsia="仿宋_GB2312"/>
          <w:sz w:val="32"/>
          <w:szCs w:val="32"/>
        </w:rPr>
        <w:t>固体矿产绿色勘查地质钻探技术规范</w:t>
      </w:r>
      <w:r>
        <w:rPr>
          <w:rFonts w:hint="eastAsia" w:ascii="仿宋_GB2312" w:hAnsi="仿宋" w:eastAsia="仿宋_GB2312"/>
          <w:sz w:val="32"/>
          <w:szCs w:val="32"/>
        </w:rPr>
        <w:t>（征求意见稿）》</w:t>
      </w:r>
      <w:r>
        <w:rPr>
          <w:rFonts w:hint="eastAsia" w:ascii="仿宋_GB2312" w:eastAsia="仿宋_GB2312"/>
          <w:sz w:val="32"/>
          <w:szCs w:val="32"/>
        </w:rPr>
        <w:t>。</w:t>
      </w:r>
    </w:p>
    <w:p w14:paraId="3F1DEFAC">
      <w:pPr>
        <w:ind w:firstLine="643" w:firstLineChars="200"/>
        <w:rPr>
          <w:rFonts w:ascii="仿宋_GB2312" w:eastAsia="仿宋_GB2312"/>
          <w:b/>
          <w:sz w:val="32"/>
          <w:szCs w:val="32"/>
        </w:rPr>
      </w:pPr>
      <w:r>
        <w:rPr>
          <w:rFonts w:hint="eastAsia" w:ascii="仿宋_GB2312" w:eastAsia="仿宋_GB2312"/>
          <w:b/>
          <w:sz w:val="32"/>
          <w:szCs w:val="32"/>
        </w:rPr>
        <w:t>（五）标准起草工作组成员及任务分工</w:t>
      </w:r>
    </w:p>
    <w:p w14:paraId="7A807678">
      <w:pPr>
        <w:ind w:firstLine="640" w:firstLineChars="200"/>
        <w:rPr>
          <w:rFonts w:ascii="仿宋_GB2312" w:eastAsia="仿宋_GB2312"/>
          <w:sz w:val="32"/>
          <w:szCs w:val="32"/>
        </w:rPr>
      </w:pPr>
      <w:r>
        <w:rPr>
          <w:rFonts w:ascii="仿宋_GB2312" w:eastAsia="仿宋_GB2312"/>
          <w:sz w:val="32"/>
          <w:szCs w:val="32"/>
        </w:rPr>
        <w:t>本标准</w:t>
      </w:r>
      <w:r>
        <w:rPr>
          <w:rFonts w:hint="eastAsia" w:ascii="仿宋_GB2312" w:eastAsia="仿宋_GB2312"/>
          <w:sz w:val="32"/>
          <w:szCs w:val="32"/>
        </w:rPr>
        <w:t>由中国地质调查局西安矿产资源调查中心主导</w:t>
      </w:r>
      <w:r>
        <w:rPr>
          <w:rFonts w:ascii="仿宋_GB2312" w:eastAsia="仿宋_GB2312"/>
          <w:sz w:val="32"/>
          <w:szCs w:val="32"/>
        </w:rPr>
        <w:t>，</w:t>
      </w:r>
      <w:r>
        <w:rPr>
          <w:rFonts w:hint="eastAsia" w:ascii="仿宋_GB2312" w:eastAsia="仿宋_GB2312"/>
          <w:sz w:val="32"/>
          <w:szCs w:val="32"/>
        </w:rPr>
        <w:t>中国地质科学院勘探技术研究所、中陕核工业集团二一四大队有限公司参与，</w:t>
      </w:r>
      <w:r>
        <w:rPr>
          <w:rFonts w:ascii="仿宋_GB2312" w:eastAsia="仿宋_GB2312"/>
          <w:sz w:val="32"/>
          <w:szCs w:val="32"/>
        </w:rPr>
        <w:t>主要编写人员组成及分工见表</w:t>
      </w:r>
      <w:r>
        <w:rPr>
          <w:rFonts w:hint="eastAsia" w:ascii="仿宋_GB2312" w:eastAsia="仿宋_GB2312"/>
          <w:sz w:val="32"/>
          <w:szCs w:val="32"/>
        </w:rPr>
        <w:t>1。</w:t>
      </w:r>
    </w:p>
    <w:p w14:paraId="2D4DC365">
      <w:pPr>
        <w:spacing w:line="500" w:lineRule="exact"/>
        <w:jc w:val="center"/>
        <w:rPr>
          <w:rFonts w:ascii="Times New Roman" w:hAnsi="Times New Roman" w:eastAsia="Adobe 黑体 Std R" w:cs="Times New Roman"/>
          <w:sz w:val="28"/>
          <w:szCs w:val="28"/>
        </w:rPr>
      </w:pPr>
      <w:r>
        <w:rPr>
          <w:rFonts w:ascii="Times New Roman" w:hAnsi="Times New Roman" w:eastAsia="Adobe 黑体 Std R" w:cs="Times New Roman"/>
          <w:sz w:val="28"/>
          <w:szCs w:val="28"/>
        </w:rPr>
        <w:t>表1 标准</w:t>
      </w:r>
      <w:r>
        <w:rPr>
          <w:rFonts w:hint="eastAsia" w:ascii="Times New Roman" w:hAnsi="Times New Roman" w:eastAsia="Adobe 黑体 Std R" w:cs="Times New Roman"/>
          <w:sz w:val="28"/>
          <w:szCs w:val="28"/>
        </w:rPr>
        <w:t>起草工作组成员</w:t>
      </w:r>
      <w:r>
        <w:rPr>
          <w:rFonts w:ascii="Times New Roman" w:hAnsi="Times New Roman" w:eastAsia="Adobe 黑体 Std R" w:cs="Times New Roman"/>
          <w:sz w:val="28"/>
          <w:szCs w:val="28"/>
        </w:rPr>
        <w:t>及分工</w:t>
      </w:r>
    </w:p>
    <w:tbl>
      <w:tblPr>
        <w:tblStyle w:val="10"/>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134"/>
        <w:gridCol w:w="1553"/>
        <w:gridCol w:w="1701"/>
        <w:gridCol w:w="1985"/>
        <w:gridCol w:w="2409"/>
      </w:tblGrid>
      <w:tr w14:paraId="7E3CE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1B4DBF74">
            <w:pPr>
              <w:jc w:val="center"/>
              <w:rPr>
                <w:rFonts w:ascii="仿宋_GB2312" w:eastAsia="仿宋_GB2312"/>
                <w:b/>
                <w:sz w:val="28"/>
                <w:szCs w:val="28"/>
              </w:rPr>
            </w:pPr>
            <w:r>
              <w:rPr>
                <w:rFonts w:hint="eastAsia" w:ascii="仿宋_GB2312" w:eastAsia="仿宋_GB2312"/>
                <w:b/>
                <w:sz w:val="28"/>
                <w:szCs w:val="28"/>
              </w:rPr>
              <w:t>序号</w:t>
            </w:r>
          </w:p>
        </w:tc>
        <w:tc>
          <w:tcPr>
            <w:tcW w:w="1134" w:type="dxa"/>
            <w:vAlign w:val="center"/>
          </w:tcPr>
          <w:p w14:paraId="10B67CBE">
            <w:pPr>
              <w:jc w:val="center"/>
              <w:rPr>
                <w:rFonts w:ascii="仿宋_GB2312" w:eastAsia="仿宋_GB2312"/>
                <w:b/>
                <w:sz w:val="28"/>
                <w:szCs w:val="28"/>
              </w:rPr>
            </w:pPr>
            <w:r>
              <w:rPr>
                <w:rFonts w:hint="eastAsia" w:ascii="仿宋_GB2312" w:eastAsia="仿宋_GB2312"/>
                <w:b/>
                <w:sz w:val="28"/>
                <w:szCs w:val="28"/>
              </w:rPr>
              <w:t>姓名</w:t>
            </w:r>
          </w:p>
        </w:tc>
        <w:tc>
          <w:tcPr>
            <w:tcW w:w="1553" w:type="dxa"/>
            <w:vAlign w:val="center"/>
          </w:tcPr>
          <w:p w14:paraId="43DC2FF5">
            <w:pPr>
              <w:jc w:val="center"/>
              <w:rPr>
                <w:rFonts w:ascii="仿宋_GB2312" w:eastAsia="仿宋_GB2312"/>
                <w:b/>
                <w:sz w:val="28"/>
                <w:szCs w:val="28"/>
              </w:rPr>
            </w:pPr>
            <w:r>
              <w:rPr>
                <w:rFonts w:hint="eastAsia" w:ascii="仿宋_GB2312" w:eastAsia="仿宋_GB2312"/>
                <w:b/>
                <w:sz w:val="28"/>
                <w:szCs w:val="28"/>
              </w:rPr>
              <w:t>专业</w:t>
            </w:r>
          </w:p>
        </w:tc>
        <w:tc>
          <w:tcPr>
            <w:tcW w:w="1701" w:type="dxa"/>
            <w:vAlign w:val="center"/>
          </w:tcPr>
          <w:p w14:paraId="7128A6EA">
            <w:pPr>
              <w:jc w:val="center"/>
              <w:rPr>
                <w:rFonts w:ascii="仿宋_GB2312" w:eastAsia="仿宋_GB2312"/>
                <w:b/>
                <w:sz w:val="28"/>
                <w:szCs w:val="28"/>
              </w:rPr>
            </w:pPr>
            <w:r>
              <w:rPr>
                <w:rFonts w:hint="eastAsia" w:ascii="仿宋_GB2312" w:eastAsia="仿宋_GB2312"/>
                <w:b/>
                <w:sz w:val="28"/>
                <w:szCs w:val="28"/>
              </w:rPr>
              <w:t>职称</w:t>
            </w:r>
          </w:p>
        </w:tc>
        <w:tc>
          <w:tcPr>
            <w:tcW w:w="1985" w:type="dxa"/>
            <w:vAlign w:val="center"/>
          </w:tcPr>
          <w:p w14:paraId="3F9841D7">
            <w:pPr>
              <w:jc w:val="center"/>
              <w:rPr>
                <w:rFonts w:ascii="仿宋_GB2312" w:eastAsia="仿宋_GB2312"/>
                <w:b/>
                <w:sz w:val="28"/>
                <w:szCs w:val="28"/>
              </w:rPr>
            </w:pPr>
            <w:r>
              <w:rPr>
                <w:rFonts w:hint="eastAsia" w:ascii="仿宋_GB2312" w:eastAsia="仿宋_GB2312"/>
                <w:b/>
                <w:sz w:val="28"/>
                <w:szCs w:val="28"/>
              </w:rPr>
              <w:t>工作单位</w:t>
            </w:r>
          </w:p>
        </w:tc>
        <w:tc>
          <w:tcPr>
            <w:tcW w:w="2409" w:type="dxa"/>
            <w:vAlign w:val="center"/>
          </w:tcPr>
          <w:p w14:paraId="4F229F0F">
            <w:pPr>
              <w:jc w:val="center"/>
              <w:rPr>
                <w:rFonts w:ascii="仿宋_GB2312" w:eastAsia="仿宋_GB2312"/>
                <w:b/>
                <w:sz w:val="28"/>
                <w:szCs w:val="28"/>
              </w:rPr>
            </w:pPr>
            <w:r>
              <w:rPr>
                <w:rFonts w:hint="eastAsia" w:ascii="仿宋_GB2312" w:eastAsia="仿宋_GB2312"/>
                <w:b/>
                <w:sz w:val="28"/>
                <w:szCs w:val="28"/>
              </w:rPr>
              <w:t>制定标准分工</w:t>
            </w:r>
          </w:p>
        </w:tc>
      </w:tr>
      <w:tr w14:paraId="2AAFB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0176E211">
            <w:pPr>
              <w:jc w:val="center"/>
              <w:rPr>
                <w:rFonts w:ascii="仿宋_GB2312" w:eastAsia="仿宋_GB2312"/>
                <w:sz w:val="28"/>
                <w:szCs w:val="28"/>
              </w:rPr>
            </w:pPr>
            <w:r>
              <w:rPr>
                <w:rFonts w:hint="eastAsia" w:ascii="仿宋_GB2312" w:eastAsia="仿宋_GB2312"/>
                <w:sz w:val="28"/>
                <w:szCs w:val="28"/>
              </w:rPr>
              <w:t>1</w:t>
            </w:r>
          </w:p>
        </w:tc>
        <w:tc>
          <w:tcPr>
            <w:tcW w:w="1134" w:type="dxa"/>
            <w:vAlign w:val="center"/>
          </w:tcPr>
          <w:p w14:paraId="48CB4B6A">
            <w:pPr>
              <w:jc w:val="center"/>
              <w:rPr>
                <w:rFonts w:ascii="仿宋_GB2312" w:eastAsia="仿宋_GB2312"/>
                <w:sz w:val="28"/>
                <w:szCs w:val="28"/>
              </w:rPr>
            </w:pPr>
            <w:r>
              <w:rPr>
                <w:rFonts w:hint="eastAsia" w:ascii="仿宋_GB2312" w:eastAsia="仿宋_GB2312"/>
                <w:sz w:val="28"/>
                <w:szCs w:val="28"/>
              </w:rPr>
              <w:t xml:space="preserve">刘 </w:t>
            </w:r>
            <w:r>
              <w:rPr>
                <w:rFonts w:ascii="仿宋_GB2312" w:eastAsia="仿宋_GB2312"/>
                <w:sz w:val="28"/>
                <w:szCs w:val="28"/>
              </w:rPr>
              <w:t xml:space="preserve"> </w:t>
            </w:r>
            <w:r>
              <w:rPr>
                <w:rFonts w:hint="eastAsia" w:ascii="仿宋_GB2312" w:eastAsia="仿宋_GB2312"/>
                <w:sz w:val="28"/>
                <w:szCs w:val="28"/>
              </w:rPr>
              <w:t>蓓</w:t>
            </w:r>
          </w:p>
        </w:tc>
        <w:tc>
          <w:tcPr>
            <w:tcW w:w="1553" w:type="dxa"/>
            <w:vAlign w:val="center"/>
          </w:tcPr>
          <w:p w14:paraId="3A1905EA">
            <w:pPr>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6D04B03B">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67E9B98C">
            <w:pPr>
              <w:spacing w:line="300" w:lineRule="exact"/>
              <w:jc w:val="center"/>
              <w:rPr>
                <w:rFonts w:ascii="仿宋_GB2312" w:eastAsia="仿宋_GB2312"/>
                <w:sz w:val="28"/>
                <w:szCs w:val="28"/>
              </w:rPr>
            </w:pPr>
            <w:r>
              <w:rPr>
                <w:rFonts w:hint="eastAsia" w:ascii="仿宋_GB2312" w:eastAsia="仿宋_GB2312"/>
                <w:sz w:val="28"/>
                <w:szCs w:val="28"/>
              </w:rPr>
              <w:t>中国地质调查局西安矿产资源调查中心</w:t>
            </w:r>
          </w:p>
        </w:tc>
        <w:tc>
          <w:tcPr>
            <w:tcW w:w="2409" w:type="dxa"/>
            <w:vAlign w:val="center"/>
          </w:tcPr>
          <w:p w14:paraId="0C802247">
            <w:pPr>
              <w:spacing w:line="300" w:lineRule="exact"/>
              <w:jc w:val="left"/>
              <w:rPr>
                <w:rFonts w:ascii="仿宋_GB2312" w:eastAsia="仿宋_GB2312"/>
                <w:sz w:val="28"/>
                <w:szCs w:val="28"/>
              </w:rPr>
            </w:pPr>
            <w:r>
              <w:rPr>
                <w:rFonts w:ascii="仿宋_GB2312" w:eastAsia="仿宋_GB2312"/>
                <w:sz w:val="28"/>
                <w:szCs w:val="28"/>
              </w:rPr>
              <w:t>项目组负责人，统筹安排标准起草过程中的各项工作，负责标准的起草编制及修改。</w:t>
            </w:r>
          </w:p>
        </w:tc>
      </w:tr>
      <w:tr w14:paraId="16015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3349FD8E">
            <w:pPr>
              <w:jc w:val="center"/>
              <w:rPr>
                <w:rFonts w:ascii="仿宋_GB2312" w:eastAsia="仿宋_GB2312"/>
                <w:sz w:val="28"/>
                <w:szCs w:val="28"/>
              </w:rPr>
            </w:pPr>
            <w:r>
              <w:rPr>
                <w:rFonts w:hint="eastAsia" w:ascii="仿宋_GB2312" w:eastAsia="仿宋_GB2312"/>
                <w:sz w:val="28"/>
                <w:szCs w:val="28"/>
              </w:rPr>
              <w:t>2</w:t>
            </w:r>
          </w:p>
        </w:tc>
        <w:tc>
          <w:tcPr>
            <w:tcW w:w="1134" w:type="dxa"/>
            <w:vAlign w:val="center"/>
          </w:tcPr>
          <w:p w14:paraId="3891069B">
            <w:pPr>
              <w:jc w:val="center"/>
              <w:rPr>
                <w:rFonts w:ascii="仿宋_GB2312" w:eastAsia="仿宋_GB2312"/>
                <w:sz w:val="28"/>
                <w:szCs w:val="28"/>
              </w:rPr>
            </w:pPr>
            <w:r>
              <w:rPr>
                <w:rFonts w:hint="eastAsia" w:ascii="仿宋_GB2312" w:eastAsia="仿宋_GB2312"/>
                <w:sz w:val="28"/>
                <w:szCs w:val="28"/>
              </w:rPr>
              <w:t xml:space="preserve">杨 </w:t>
            </w:r>
            <w:r>
              <w:rPr>
                <w:rFonts w:ascii="仿宋_GB2312" w:eastAsia="仿宋_GB2312"/>
                <w:sz w:val="28"/>
                <w:szCs w:val="28"/>
              </w:rPr>
              <w:t xml:space="preserve"> </w:t>
            </w:r>
            <w:r>
              <w:rPr>
                <w:rFonts w:hint="eastAsia" w:ascii="仿宋_GB2312" w:eastAsia="仿宋_GB2312"/>
                <w:sz w:val="28"/>
                <w:szCs w:val="28"/>
              </w:rPr>
              <w:t>可</w:t>
            </w:r>
          </w:p>
        </w:tc>
        <w:tc>
          <w:tcPr>
            <w:tcW w:w="1553" w:type="dxa"/>
            <w:vAlign w:val="center"/>
          </w:tcPr>
          <w:p w14:paraId="2EB72FDE">
            <w:pPr>
              <w:jc w:val="center"/>
              <w:rPr>
                <w:rFonts w:ascii="仿宋_GB2312" w:eastAsia="仿宋_GB2312"/>
                <w:sz w:val="28"/>
                <w:szCs w:val="28"/>
              </w:rPr>
            </w:pPr>
            <w:r>
              <w:rPr>
                <w:rFonts w:hint="eastAsia" w:ascii="仿宋_GB2312" w:eastAsia="仿宋_GB2312"/>
                <w:sz w:val="28"/>
                <w:szCs w:val="28"/>
              </w:rPr>
              <w:t>地质矿产</w:t>
            </w:r>
          </w:p>
        </w:tc>
        <w:tc>
          <w:tcPr>
            <w:tcW w:w="1701" w:type="dxa"/>
            <w:vAlign w:val="center"/>
          </w:tcPr>
          <w:p w14:paraId="44B41D08">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4CCA9D63">
            <w:pPr>
              <w:spacing w:line="300" w:lineRule="exact"/>
              <w:jc w:val="center"/>
              <w:rPr>
                <w:rFonts w:ascii="仿宋_GB2312" w:eastAsia="仿宋_GB2312"/>
                <w:sz w:val="28"/>
                <w:szCs w:val="28"/>
              </w:rPr>
            </w:pPr>
            <w:r>
              <w:rPr>
                <w:rFonts w:hint="eastAsia" w:ascii="仿宋_GB2312" w:eastAsia="仿宋_GB2312"/>
                <w:sz w:val="28"/>
                <w:szCs w:val="28"/>
              </w:rPr>
              <w:t>中国地质调查局西安矿产资源调查中心</w:t>
            </w:r>
          </w:p>
        </w:tc>
        <w:tc>
          <w:tcPr>
            <w:tcW w:w="2409" w:type="dxa"/>
            <w:vAlign w:val="center"/>
          </w:tcPr>
          <w:p w14:paraId="1404C4DF">
            <w:pPr>
              <w:spacing w:line="300" w:lineRule="exact"/>
              <w:jc w:val="left"/>
              <w:rPr>
                <w:rFonts w:ascii="仿宋_GB2312" w:eastAsia="仿宋_GB2312"/>
                <w:sz w:val="28"/>
                <w:szCs w:val="28"/>
              </w:rPr>
            </w:pPr>
            <w:r>
              <w:rPr>
                <w:rFonts w:ascii="仿宋_GB2312" w:eastAsia="仿宋_GB2312"/>
                <w:sz w:val="28"/>
                <w:szCs w:val="28"/>
              </w:rPr>
              <w:t>参与标准的起草编制，负责征求意见的汇总整理及</w:t>
            </w:r>
            <w:r>
              <w:rPr>
                <w:rFonts w:hint="eastAsia" w:ascii="仿宋_GB2312" w:eastAsia="仿宋_GB2312"/>
                <w:sz w:val="28"/>
                <w:szCs w:val="28"/>
              </w:rPr>
              <w:t>相关文献资料</w:t>
            </w:r>
            <w:r>
              <w:rPr>
                <w:rFonts w:ascii="仿宋_GB2312" w:eastAsia="仿宋_GB2312"/>
                <w:sz w:val="28"/>
                <w:szCs w:val="28"/>
              </w:rPr>
              <w:t>的收集梳理。</w:t>
            </w:r>
          </w:p>
        </w:tc>
      </w:tr>
      <w:tr w14:paraId="04FB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4BF45503">
            <w:pPr>
              <w:jc w:val="center"/>
              <w:rPr>
                <w:rFonts w:ascii="仿宋_GB2312" w:eastAsia="仿宋_GB2312"/>
                <w:sz w:val="28"/>
                <w:szCs w:val="28"/>
              </w:rPr>
            </w:pPr>
            <w:bookmarkStart w:id="3" w:name="_Hlk190336594"/>
            <w:r>
              <w:rPr>
                <w:rFonts w:hint="eastAsia" w:ascii="仿宋_GB2312" w:eastAsia="仿宋_GB2312"/>
                <w:sz w:val="28"/>
                <w:szCs w:val="28"/>
              </w:rPr>
              <w:t>3</w:t>
            </w:r>
          </w:p>
        </w:tc>
        <w:tc>
          <w:tcPr>
            <w:tcW w:w="1134" w:type="dxa"/>
            <w:vAlign w:val="center"/>
          </w:tcPr>
          <w:p w14:paraId="776E3844">
            <w:pPr>
              <w:jc w:val="center"/>
              <w:rPr>
                <w:rFonts w:ascii="仿宋_GB2312" w:eastAsia="仿宋_GB2312"/>
                <w:sz w:val="28"/>
                <w:szCs w:val="28"/>
              </w:rPr>
            </w:pPr>
            <w:r>
              <w:rPr>
                <w:rFonts w:hint="eastAsia" w:ascii="仿宋_GB2312" w:eastAsia="仿宋_GB2312"/>
                <w:sz w:val="28"/>
                <w:szCs w:val="28"/>
              </w:rPr>
              <w:t>吴纪修</w:t>
            </w:r>
          </w:p>
        </w:tc>
        <w:tc>
          <w:tcPr>
            <w:tcW w:w="1553" w:type="dxa"/>
            <w:vAlign w:val="center"/>
          </w:tcPr>
          <w:p w14:paraId="5A718349">
            <w:pPr>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4FC667A7">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09834D3C">
            <w:pPr>
              <w:spacing w:line="300" w:lineRule="exact"/>
              <w:jc w:val="center"/>
              <w:rPr>
                <w:rFonts w:ascii="仿宋_GB2312" w:eastAsia="仿宋_GB2312"/>
                <w:sz w:val="28"/>
                <w:szCs w:val="28"/>
              </w:rPr>
            </w:pPr>
            <w:r>
              <w:rPr>
                <w:rFonts w:hint="eastAsia" w:ascii="仿宋_GB2312" w:eastAsia="仿宋_GB2312"/>
                <w:sz w:val="28"/>
                <w:szCs w:val="28"/>
              </w:rPr>
              <w:t>中国地质科学院勘探技术研究所</w:t>
            </w:r>
          </w:p>
        </w:tc>
        <w:tc>
          <w:tcPr>
            <w:tcW w:w="2409" w:type="dxa"/>
            <w:vAlign w:val="center"/>
          </w:tcPr>
          <w:p w14:paraId="0D36A8ED">
            <w:pPr>
              <w:spacing w:line="300" w:lineRule="exact"/>
              <w:jc w:val="left"/>
              <w:rPr>
                <w:rFonts w:ascii="仿宋_GB2312" w:eastAsia="仿宋_GB2312"/>
                <w:sz w:val="28"/>
                <w:szCs w:val="28"/>
              </w:rPr>
            </w:pPr>
            <w:r>
              <w:rPr>
                <w:rFonts w:ascii="仿宋_GB2312" w:eastAsia="仿宋_GB2312"/>
                <w:sz w:val="28"/>
                <w:szCs w:val="28"/>
              </w:rPr>
              <w:t>负责标准的起草编制，审核修改标准主要技术条款。</w:t>
            </w:r>
          </w:p>
        </w:tc>
      </w:tr>
      <w:bookmarkEnd w:id="3"/>
      <w:tr w14:paraId="52E4C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38BC79CE">
            <w:pPr>
              <w:jc w:val="center"/>
              <w:rPr>
                <w:rFonts w:ascii="仿宋_GB2312" w:eastAsia="仿宋_GB2312"/>
                <w:sz w:val="28"/>
                <w:szCs w:val="28"/>
              </w:rPr>
            </w:pPr>
            <w:r>
              <w:rPr>
                <w:rFonts w:hint="eastAsia" w:ascii="仿宋_GB2312" w:eastAsia="仿宋_GB2312"/>
                <w:sz w:val="28"/>
                <w:szCs w:val="28"/>
              </w:rPr>
              <w:t>4</w:t>
            </w:r>
          </w:p>
        </w:tc>
        <w:tc>
          <w:tcPr>
            <w:tcW w:w="1134" w:type="dxa"/>
            <w:vAlign w:val="center"/>
          </w:tcPr>
          <w:p w14:paraId="31999B52">
            <w:pPr>
              <w:jc w:val="center"/>
              <w:rPr>
                <w:rFonts w:ascii="仿宋_GB2312" w:eastAsia="仿宋_GB2312"/>
                <w:sz w:val="28"/>
                <w:szCs w:val="28"/>
              </w:rPr>
            </w:pPr>
            <w:r>
              <w:rPr>
                <w:rFonts w:hint="eastAsia" w:ascii="仿宋_GB2312" w:eastAsia="仿宋_GB2312"/>
                <w:sz w:val="28"/>
                <w:szCs w:val="28"/>
              </w:rPr>
              <w:t>高鹏举</w:t>
            </w:r>
          </w:p>
        </w:tc>
        <w:tc>
          <w:tcPr>
            <w:tcW w:w="1553" w:type="dxa"/>
            <w:vAlign w:val="center"/>
          </w:tcPr>
          <w:p w14:paraId="6CE85734">
            <w:pPr>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28664B7F">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776B064C">
            <w:pPr>
              <w:spacing w:line="300" w:lineRule="exact"/>
              <w:jc w:val="center"/>
              <w:rPr>
                <w:rFonts w:ascii="仿宋_GB2312" w:eastAsia="仿宋_GB2312"/>
                <w:sz w:val="28"/>
                <w:szCs w:val="28"/>
              </w:rPr>
            </w:pPr>
            <w:r>
              <w:rPr>
                <w:rFonts w:hint="eastAsia" w:ascii="仿宋_GB2312" w:eastAsia="仿宋_GB2312"/>
                <w:sz w:val="28"/>
                <w:szCs w:val="28"/>
              </w:rPr>
              <w:t>中国地质科学院勘探技术研究所</w:t>
            </w:r>
          </w:p>
        </w:tc>
        <w:tc>
          <w:tcPr>
            <w:tcW w:w="2409" w:type="dxa"/>
            <w:vAlign w:val="center"/>
          </w:tcPr>
          <w:p w14:paraId="5FDD9688">
            <w:pPr>
              <w:spacing w:line="300" w:lineRule="exact"/>
              <w:jc w:val="left"/>
              <w:rPr>
                <w:rFonts w:ascii="仿宋_GB2312" w:eastAsia="仿宋_GB2312"/>
                <w:sz w:val="28"/>
                <w:szCs w:val="28"/>
              </w:rPr>
            </w:pPr>
            <w:r>
              <w:rPr>
                <w:rFonts w:ascii="仿宋_GB2312" w:eastAsia="仿宋_GB2312"/>
                <w:sz w:val="28"/>
                <w:szCs w:val="28"/>
              </w:rPr>
              <w:t>参与标准起草编制及征求意见的汇总修改。</w:t>
            </w:r>
          </w:p>
        </w:tc>
      </w:tr>
      <w:tr w14:paraId="21B6D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2CFC680A">
            <w:pPr>
              <w:jc w:val="center"/>
              <w:rPr>
                <w:rFonts w:ascii="仿宋_GB2312" w:eastAsia="仿宋_GB2312"/>
                <w:sz w:val="28"/>
                <w:szCs w:val="28"/>
              </w:rPr>
            </w:pPr>
            <w:r>
              <w:rPr>
                <w:rFonts w:hint="eastAsia" w:ascii="仿宋_GB2312" w:eastAsia="仿宋_GB2312"/>
                <w:sz w:val="28"/>
                <w:szCs w:val="28"/>
              </w:rPr>
              <w:t>5</w:t>
            </w:r>
          </w:p>
        </w:tc>
        <w:tc>
          <w:tcPr>
            <w:tcW w:w="1134" w:type="dxa"/>
            <w:vAlign w:val="center"/>
          </w:tcPr>
          <w:p w14:paraId="6A302537">
            <w:pPr>
              <w:spacing w:line="300" w:lineRule="exact"/>
              <w:jc w:val="center"/>
              <w:rPr>
                <w:rFonts w:ascii="仿宋_GB2312" w:eastAsia="仿宋_GB2312"/>
                <w:sz w:val="28"/>
                <w:szCs w:val="28"/>
              </w:rPr>
            </w:pPr>
            <w:r>
              <w:rPr>
                <w:rFonts w:ascii="仿宋_GB2312" w:eastAsia="仿宋_GB2312"/>
                <w:sz w:val="28"/>
                <w:szCs w:val="28"/>
              </w:rPr>
              <w:t>寇少磊</w:t>
            </w:r>
          </w:p>
        </w:tc>
        <w:tc>
          <w:tcPr>
            <w:tcW w:w="1553" w:type="dxa"/>
            <w:vAlign w:val="center"/>
          </w:tcPr>
          <w:p w14:paraId="5410AA29">
            <w:pPr>
              <w:spacing w:line="300" w:lineRule="exact"/>
              <w:jc w:val="center"/>
              <w:rPr>
                <w:rFonts w:ascii="仿宋_GB2312" w:eastAsia="仿宋_GB2312"/>
                <w:sz w:val="28"/>
                <w:szCs w:val="28"/>
              </w:rPr>
            </w:pPr>
            <w:r>
              <w:rPr>
                <w:rFonts w:hint="eastAsia" w:ascii="仿宋_GB2312" w:eastAsia="仿宋_GB2312"/>
                <w:sz w:val="28"/>
                <w:szCs w:val="28"/>
              </w:rPr>
              <w:t>地质矿产</w:t>
            </w:r>
          </w:p>
        </w:tc>
        <w:tc>
          <w:tcPr>
            <w:tcW w:w="1701" w:type="dxa"/>
            <w:vAlign w:val="center"/>
          </w:tcPr>
          <w:p w14:paraId="1E5CD86A">
            <w:pPr>
              <w:spacing w:line="300" w:lineRule="exact"/>
              <w:jc w:val="center"/>
              <w:rPr>
                <w:rFonts w:ascii="仿宋_GB2312" w:eastAsia="仿宋_GB2312"/>
                <w:sz w:val="28"/>
                <w:szCs w:val="28"/>
              </w:rPr>
            </w:pPr>
            <w:r>
              <w:rPr>
                <w:rFonts w:ascii="仿宋_GB2312" w:eastAsia="仿宋_GB2312"/>
                <w:sz w:val="28"/>
                <w:szCs w:val="28"/>
              </w:rPr>
              <w:t>工程师</w:t>
            </w:r>
          </w:p>
        </w:tc>
        <w:tc>
          <w:tcPr>
            <w:tcW w:w="1985" w:type="dxa"/>
            <w:vAlign w:val="center"/>
          </w:tcPr>
          <w:p w14:paraId="6AE71519">
            <w:pPr>
              <w:spacing w:line="300" w:lineRule="exact"/>
              <w:jc w:val="center"/>
              <w:rPr>
                <w:rFonts w:ascii="仿宋_GB2312" w:eastAsia="仿宋_GB2312"/>
                <w:sz w:val="28"/>
                <w:szCs w:val="28"/>
              </w:rPr>
            </w:pPr>
            <w:r>
              <w:rPr>
                <w:rFonts w:ascii="仿宋_GB2312" w:eastAsia="仿宋_GB2312"/>
                <w:sz w:val="28"/>
                <w:szCs w:val="28"/>
              </w:rPr>
              <w:t>中国地质调查局西安矿产资源调查中心</w:t>
            </w:r>
          </w:p>
        </w:tc>
        <w:tc>
          <w:tcPr>
            <w:tcW w:w="2409" w:type="dxa"/>
            <w:vAlign w:val="center"/>
          </w:tcPr>
          <w:p w14:paraId="3E2161EF">
            <w:pPr>
              <w:spacing w:line="300" w:lineRule="exact"/>
              <w:jc w:val="left"/>
              <w:rPr>
                <w:rFonts w:ascii="仿宋_GB2312" w:eastAsia="仿宋_GB2312"/>
                <w:sz w:val="28"/>
                <w:szCs w:val="28"/>
              </w:rPr>
            </w:pPr>
            <w:r>
              <w:rPr>
                <w:rFonts w:hint="eastAsia" w:ascii="仿宋_GB2312" w:eastAsia="仿宋_GB2312"/>
                <w:sz w:val="28"/>
                <w:szCs w:val="28"/>
              </w:rPr>
              <w:t>参与标准起草编制工作，试验研究和实践验证。</w:t>
            </w:r>
          </w:p>
        </w:tc>
      </w:tr>
      <w:tr w14:paraId="64532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7FA604A7">
            <w:pPr>
              <w:jc w:val="center"/>
              <w:rPr>
                <w:rFonts w:ascii="仿宋_GB2312" w:eastAsia="仿宋_GB2312"/>
                <w:sz w:val="28"/>
                <w:szCs w:val="28"/>
              </w:rPr>
            </w:pPr>
            <w:r>
              <w:rPr>
                <w:rFonts w:hint="eastAsia" w:ascii="仿宋_GB2312" w:eastAsia="仿宋_GB2312"/>
                <w:sz w:val="28"/>
                <w:szCs w:val="28"/>
              </w:rPr>
              <w:t>6</w:t>
            </w:r>
          </w:p>
        </w:tc>
        <w:tc>
          <w:tcPr>
            <w:tcW w:w="1134" w:type="dxa"/>
          </w:tcPr>
          <w:p w14:paraId="1F0D7361">
            <w:pPr>
              <w:rPr>
                <w:rFonts w:ascii="仿宋_GB2312" w:eastAsia="仿宋_GB2312"/>
                <w:sz w:val="28"/>
                <w:szCs w:val="28"/>
              </w:rPr>
            </w:pPr>
            <w:r>
              <w:rPr>
                <w:rFonts w:hint="eastAsia" w:ascii="仿宋_GB2312" w:eastAsia="仿宋_GB2312"/>
                <w:sz w:val="28"/>
                <w:szCs w:val="28"/>
              </w:rPr>
              <w:t>王朋</w:t>
            </w:r>
          </w:p>
        </w:tc>
        <w:tc>
          <w:tcPr>
            <w:tcW w:w="1553" w:type="dxa"/>
          </w:tcPr>
          <w:p w14:paraId="62101BB0">
            <w:pPr>
              <w:spacing w:line="300" w:lineRule="exact"/>
              <w:jc w:val="center"/>
              <w:rPr>
                <w:rFonts w:ascii="仿宋_GB2312" w:eastAsia="仿宋_GB2312"/>
                <w:sz w:val="28"/>
                <w:szCs w:val="28"/>
              </w:rPr>
            </w:pPr>
            <w:r>
              <w:rPr>
                <w:rFonts w:hint="eastAsia" w:ascii="仿宋_GB2312" w:eastAsia="仿宋_GB2312"/>
                <w:sz w:val="28"/>
                <w:szCs w:val="28"/>
              </w:rPr>
              <w:t>地质调查与矿产勘查</w:t>
            </w:r>
          </w:p>
        </w:tc>
        <w:tc>
          <w:tcPr>
            <w:tcW w:w="1701" w:type="dxa"/>
          </w:tcPr>
          <w:p w14:paraId="1F032BC5">
            <w:pPr>
              <w:rPr>
                <w:rFonts w:ascii="仿宋_GB2312" w:eastAsia="仿宋_GB2312"/>
                <w:sz w:val="28"/>
                <w:szCs w:val="28"/>
              </w:rPr>
            </w:pPr>
            <w:r>
              <w:rPr>
                <w:rFonts w:hint="eastAsia" w:ascii="仿宋_GB2312" w:eastAsia="仿宋_GB2312"/>
                <w:sz w:val="28"/>
                <w:szCs w:val="28"/>
              </w:rPr>
              <w:t>高级工程师</w:t>
            </w:r>
          </w:p>
        </w:tc>
        <w:tc>
          <w:tcPr>
            <w:tcW w:w="1985" w:type="dxa"/>
          </w:tcPr>
          <w:p w14:paraId="57B2EF92">
            <w:pPr>
              <w:spacing w:line="300" w:lineRule="exact"/>
              <w:jc w:val="center"/>
              <w:rPr>
                <w:rFonts w:ascii="仿宋_GB2312" w:eastAsia="仿宋_GB2312"/>
                <w:sz w:val="28"/>
                <w:szCs w:val="28"/>
              </w:rPr>
            </w:pPr>
            <w:r>
              <w:rPr>
                <w:rFonts w:hint="eastAsia" w:ascii="仿宋_GB2312" w:eastAsia="仿宋_GB2312"/>
                <w:sz w:val="28"/>
                <w:szCs w:val="28"/>
              </w:rPr>
              <w:t>中陕核工业集团二一四大队有限公司</w:t>
            </w:r>
          </w:p>
        </w:tc>
        <w:tc>
          <w:tcPr>
            <w:tcW w:w="2409" w:type="dxa"/>
            <w:vAlign w:val="center"/>
          </w:tcPr>
          <w:p w14:paraId="069D8710">
            <w:pPr>
              <w:spacing w:line="300" w:lineRule="exact"/>
              <w:jc w:val="left"/>
              <w:rPr>
                <w:rFonts w:ascii="仿宋_GB2312" w:eastAsia="仿宋_GB2312"/>
                <w:sz w:val="28"/>
                <w:szCs w:val="28"/>
              </w:rPr>
            </w:pPr>
            <w:r>
              <w:rPr>
                <w:rFonts w:ascii="仿宋_GB2312" w:eastAsia="仿宋_GB2312"/>
                <w:sz w:val="28"/>
                <w:szCs w:val="28"/>
              </w:rPr>
              <w:t>参与标准起草编制及征求意见的汇总修改。</w:t>
            </w:r>
          </w:p>
        </w:tc>
      </w:tr>
      <w:tr w14:paraId="700A2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661F6B7B">
            <w:pPr>
              <w:jc w:val="center"/>
              <w:rPr>
                <w:rFonts w:ascii="仿宋_GB2312" w:eastAsia="仿宋_GB2312"/>
                <w:sz w:val="28"/>
                <w:szCs w:val="28"/>
              </w:rPr>
            </w:pPr>
            <w:r>
              <w:rPr>
                <w:rFonts w:hint="eastAsia" w:ascii="仿宋_GB2312" w:eastAsia="仿宋_GB2312"/>
                <w:sz w:val="28"/>
                <w:szCs w:val="28"/>
              </w:rPr>
              <w:t>7</w:t>
            </w:r>
          </w:p>
        </w:tc>
        <w:tc>
          <w:tcPr>
            <w:tcW w:w="1134" w:type="dxa"/>
          </w:tcPr>
          <w:p w14:paraId="5E6B468B">
            <w:pPr>
              <w:rPr>
                <w:rFonts w:ascii="仿宋_GB2312" w:eastAsia="仿宋_GB2312"/>
                <w:sz w:val="28"/>
                <w:szCs w:val="28"/>
              </w:rPr>
            </w:pPr>
            <w:r>
              <w:rPr>
                <w:rFonts w:hint="eastAsia" w:ascii="仿宋_GB2312" w:eastAsia="仿宋_GB2312"/>
                <w:sz w:val="28"/>
                <w:szCs w:val="28"/>
              </w:rPr>
              <w:t>高政伟</w:t>
            </w:r>
          </w:p>
        </w:tc>
        <w:tc>
          <w:tcPr>
            <w:tcW w:w="1553" w:type="dxa"/>
          </w:tcPr>
          <w:p w14:paraId="547E1BCF">
            <w:pPr>
              <w:spacing w:line="300" w:lineRule="exact"/>
              <w:jc w:val="center"/>
              <w:rPr>
                <w:rFonts w:ascii="仿宋_GB2312" w:eastAsia="仿宋_GB2312"/>
                <w:sz w:val="28"/>
                <w:szCs w:val="28"/>
              </w:rPr>
            </w:pPr>
            <w:r>
              <w:rPr>
                <w:rFonts w:hint="eastAsia" w:ascii="仿宋_GB2312" w:eastAsia="仿宋_GB2312"/>
                <w:sz w:val="28"/>
                <w:szCs w:val="28"/>
              </w:rPr>
              <w:t>地质调查与矿产勘查</w:t>
            </w:r>
          </w:p>
        </w:tc>
        <w:tc>
          <w:tcPr>
            <w:tcW w:w="1701" w:type="dxa"/>
          </w:tcPr>
          <w:p w14:paraId="04FDC1D3">
            <w:pPr>
              <w:rPr>
                <w:rFonts w:ascii="仿宋_GB2312" w:eastAsia="仿宋_GB2312"/>
                <w:sz w:val="28"/>
                <w:szCs w:val="28"/>
              </w:rPr>
            </w:pPr>
            <w:r>
              <w:rPr>
                <w:rFonts w:hint="eastAsia" w:ascii="仿宋_GB2312" w:eastAsia="仿宋_GB2312"/>
                <w:sz w:val="28"/>
                <w:szCs w:val="28"/>
              </w:rPr>
              <w:t>高级工程师</w:t>
            </w:r>
          </w:p>
        </w:tc>
        <w:tc>
          <w:tcPr>
            <w:tcW w:w="1985" w:type="dxa"/>
          </w:tcPr>
          <w:p w14:paraId="1601652A">
            <w:pPr>
              <w:spacing w:line="300" w:lineRule="exact"/>
              <w:jc w:val="center"/>
              <w:rPr>
                <w:rFonts w:ascii="仿宋_GB2312" w:eastAsia="仿宋_GB2312"/>
                <w:sz w:val="28"/>
                <w:szCs w:val="28"/>
              </w:rPr>
            </w:pPr>
            <w:r>
              <w:rPr>
                <w:rFonts w:hint="eastAsia" w:ascii="仿宋_GB2312" w:eastAsia="仿宋_GB2312"/>
                <w:sz w:val="28"/>
                <w:szCs w:val="28"/>
              </w:rPr>
              <w:t>中陕核工业集团二一四大队有限公司</w:t>
            </w:r>
          </w:p>
        </w:tc>
        <w:tc>
          <w:tcPr>
            <w:tcW w:w="2409" w:type="dxa"/>
            <w:vAlign w:val="center"/>
          </w:tcPr>
          <w:p w14:paraId="4E92C7DC">
            <w:pPr>
              <w:rPr>
                <w:rFonts w:ascii="仿宋_GB2312" w:eastAsia="仿宋_GB2312"/>
                <w:sz w:val="28"/>
                <w:szCs w:val="28"/>
              </w:rPr>
            </w:pPr>
            <w:r>
              <w:rPr>
                <w:rFonts w:hint="eastAsia" w:ascii="仿宋_GB2312" w:eastAsia="仿宋_GB2312"/>
                <w:sz w:val="28"/>
                <w:szCs w:val="28"/>
              </w:rPr>
              <w:t>规范编写</w:t>
            </w:r>
          </w:p>
        </w:tc>
      </w:tr>
      <w:tr w14:paraId="662D4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50938447">
            <w:pPr>
              <w:jc w:val="center"/>
              <w:rPr>
                <w:rFonts w:ascii="仿宋_GB2312" w:eastAsia="仿宋_GB2312"/>
                <w:sz w:val="28"/>
                <w:szCs w:val="28"/>
              </w:rPr>
            </w:pPr>
            <w:r>
              <w:rPr>
                <w:rFonts w:hint="eastAsia" w:ascii="仿宋_GB2312" w:eastAsia="仿宋_GB2312"/>
                <w:sz w:val="28"/>
                <w:szCs w:val="28"/>
              </w:rPr>
              <w:t>8</w:t>
            </w:r>
          </w:p>
        </w:tc>
        <w:tc>
          <w:tcPr>
            <w:tcW w:w="1134" w:type="dxa"/>
          </w:tcPr>
          <w:p w14:paraId="46466BA3">
            <w:pPr>
              <w:rPr>
                <w:rFonts w:ascii="仿宋_GB2312" w:eastAsia="仿宋_GB2312"/>
                <w:sz w:val="28"/>
                <w:szCs w:val="28"/>
              </w:rPr>
            </w:pPr>
            <w:r>
              <w:rPr>
                <w:rFonts w:hint="eastAsia" w:ascii="仿宋_GB2312" w:eastAsia="仿宋_GB2312"/>
                <w:sz w:val="28"/>
                <w:szCs w:val="28"/>
              </w:rPr>
              <w:t>程博兴</w:t>
            </w:r>
          </w:p>
        </w:tc>
        <w:tc>
          <w:tcPr>
            <w:tcW w:w="1553" w:type="dxa"/>
          </w:tcPr>
          <w:p w14:paraId="169C2FDF">
            <w:pPr>
              <w:spacing w:line="300" w:lineRule="exact"/>
              <w:jc w:val="center"/>
              <w:rPr>
                <w:rFonts w:ascii="仿宋_GB2312" w:eastAsia="仿宋_GB2312"/>
                <w:sz w:val="28"/>
                <w:szCs w:val="28"/>
              </w:rPr>
            </w:pPr>
            <w:r>
              <w:rPr>
                <w:rFonts w:hint="eastAsia" w:ascii="仿宋_GB2312" w:eastAsia="仿宋_GB2312"/>
                <w:sz w:val="28"/>
                <w:szCs w:val="28"/>
              </w:rPr>
              <w:t>地质调查与矿产勘查</w:t>
            </w:r>
          </w:p>
        </w:tc>
        <w:tc>
          <w:tcPr>
            <w:tcW w:w="1701" w:type="dxa"/>
          </w:tcPr>
          <w:p w14:paraId="00E547D2">
            <w:pPr>
              <w:rPr>
                <w:rFonts w:ascii="仿宋_GB2312" w:eastAsia="仿宋_GB2312"/>
                <w:sz w:val="28"/>
                <w:szCs w:val="28"/>
              </w:rPr>
            </w:pPr>
            <w:r>
              <w:rPr>
                <w:rFonts w:hint="eastAsia" w:ascii="仿宋_GB2312" w:eastAsia="仿宋_GB2312"/>
                <w:sz w:val="28"/>
                <w:szCs w:val="28"/>
              </w:rPr>
              <w:t>高级工程师</w:t>
            </w:r>
          </w:p>
        </w:tc>
        <w:tc>
          <w:tcPr>
            <w:tcW w:w="1985" w:type="dxa"/>
          </w:tcPr>
          <w:p w14:paraId="7700F38A">
            <w:pPr>
              <w:spacing w:line="300" w:lineRule="exact"/>
              <w:jc w:val="center"/>
              <w:rPr>
                <w:rFonts w:ascii="仿宋_GB2312" w:eastAsia="仿宋_GB2312"/>
                <w:sz w:val="28"/>
                <w:szCs w:val="28"/>
              </w:rPr>
            </w:pPr>
            <w:r>
              <w:rPr>
                <w:rFonts w:hint="eastAsia" w:ascii="仿宋_GB2312" w:eastAsia="仿宋_GB2312"/>
                <w:sz w:val="28"/>
                <w:szCs w:val="28"/>
              </w:rPr>
              <w:t>中陕核工业集团二一四大队有限公司</w:t>
            </w:r>
          </w:p>
        </w:tc>
        <w:tc>
          <w:tcPr>
            <w:tcW w:w="2409" w:type="dxa"/>
            <w:vAlign w:val="center"/>
          </w:tcPr>
          <w:p w14:paraId="7A8BF46F">
            <w:pPr>
              <w:rPr>
                <w:rFonts w:ascii="仿宋_GB2312" w:eastAsia="仿宋_GB2312"/>
                <w:sz w:val="28"/>
                <w:szCs w:val="28"/>
              </w:rPr>
            </w:pPr>
            <w:r>
              <w:rPr>
                <w:rFonts w:hint="eastAsia" w:ascii="仿宋_GB2312" w:eastAsia="仿宋_GB2312"/>
                <w:sz w:val="28"/>
                <w:szCs w:val="28"/>
              </w:rPr>
              <w:t>调研和资料收集</w:t>
            </w:r>
          </w:p>
        </w:tc>
      </w:tr>
      <w:tr w14:paraId="06C10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717340BC">
            <w:pPr>
              <w:jc w:val="center"/>
              <w:rPr>
                <w:rFonts w:ascii="仿宋_GB2312" w:eastAsia="仿宋_GB2312"/>
                <w:sz w:val="28"/>
                <w:szCs w:val="28"/>
              </w:rPr>
            </w:pPr>
            <w:r>
              <w:rPr>
                <w:rFonts w:hint="eastAsia" w:ascii="仿宋_GB2312" w:eastAsia="仿宋_GB2312"/>
                <w:sz w:val="28"/>
                <w:szCs w:val="28"/>
              </w:rPr>
              <w:t>9</w:t>
            </w:r>
          </w:p>
        </w:tc>
        <w:tc>
          <w:tcPr>
            <w:tcW w:w="1134" w:type="dxa"/>
          </w:tcPr>
          <w:p w14:paraId="6D8770C5">
            <w:pPr>
              <w:rPr>
                <w:rFonts w:ascii="仿宋_GB2312" w:eastAsia="仿宋_GB2312"/>
                <w:sz w:val="28"/>
                <w:szCs w:val="28"/>
              </w:rPr>
            </w:pPr>
            <w:r>
              <w:rPr>
                <w:rFonts w:hint="eastAsia" w:ascii="仿宋_GB2312" w:eastAsia="仿宋_GB2312"/>
                <w:sz w:val="28"/>
                <w:szCs w:val="28"/>
              </w:rPr>
              <w:t>李阳</w:t>
            </w:r>
          </w:p>
        </w:tc>
        <w:tc>
          <w:tcPr>
            <w:tcW w:w="1553" w:type="dxa"/>
          </w:tcPr>
          <w:p w14:paraId="7FFE14CC">
            <w:pPr>
              <w:spacing w:line="300" w:lineRule="exact"/>
              <w:jc w:val="center"/>
              <w:rPr>
                <w:rFonts w:ascii="仿宋_GB2312" w:eastAsia="仿宋_GB2312"/>
                <w:sz w:val="28"/>
                <w:szCs w:val="28"/>
              </w:rPr>
            </w:pPr>
            <w:r>
              <w:rPr>
                <w:rFonts w:hint="eastAsia" w:ascii="仿宋_GB2312" w:eastAsia="仿宋_GB2312"/>
                <w:sz w:val="28"/>
                <w:szCs w:val="28"/>
              </w:rPr>
              <w:t>地质调查与矿产勘查</w:t>
            </w:r>
          </w:p>
        </w:tc>
        <w:tc>
          <w:tcPr>
            <w:tcW w:w="1701" w:type="dxa"/>
          </w:tcPr>
          <w:p w14:paraId="5170D137">
            <w:pPr>
              <w:rPr>
                <w:rFonts w:ascii="仿宋_GB2312" w:eastAsia="仿宋_GB2312"/>
                <w:sz w:val="28"/>
                <w:szCs w:val="28"/>
              </w:rPr>
            </w:pPr>
            <w:r>
              <w:rPr>
                <w:rFonts w:hint="eastAsia" w:ascii="仿宋_GB2312" w:eastAsia="仿宋_GB2312"/>
                <w:sz w:val="28"/>
                <w:szCs w:val="28"/>
              </w:rPr>
              <w:t>工程师</w:t>
            </w:r>
          </w:p>
        </w:tc>
        <w:tc>
          <w:tcPr>
            <w:tcW w:w="1985" w:type="dxa"/>
          </w:tcPr>
          <w:p w14:paraId="7017159A">
            <w:pPr>
              <w:spacing w:line="300" w:lineRule="exact"/>
              <w:jc w:val="center"/>
              <w:rPr>
                <w:rFonts w:ascii="仿宋_GB2312" w:eastAsia="仿宋_GB2312"/>
                <w:sz w:val="28"/>
                <w:szCs w:val="28"/>
              </w:rPr>
            </w:pPr>
            <w:r>
              <w:rPr>
                <w:rFonts w:hint="eastAsia" w:ascii="仿宋_GB2312" w:eastAsia="仿宋_GB2312"/>
                <w:sz w:val="28"/>
                <w:szCs w:val="28"/>
              </w:rPr>
              <w:t>中陕核工业集团二一四大队有限公司</w:t>
            </w:r>
          </w:p>
        </w:tc>
        <w:tc>
          <w:tcPr>
            <w:tcW w:w="2409" w:type="dxa"/>
            <w:vAlign w:val="center"/>
          </w:tcPr>
          <w:p w14:paraId="40A4A0FE">
            <w:pPr>
              <w:rPr>
                <w:rFonts w:ascii="仿宋_GB2312" w:eastAsia="仿宋_GB2312"/>
                <w:sz w:val="28"/>
                <w:szCs w:val="28"/>
              </w:rPr>
            </w:pPr>
            <w:r>
              <w:rPr>
                <w:rFonts w:hint="eastAsia" w:ascii="仿宋_GB2312" w:eastAsia="仿宋_GB2312"/>
                <w:sz w:val="28"/>
                <w:szCs w:val="28"/>
              </w:rPr>
              <w:t>调研和资料收集</w:t>
            </w:r>
          </w:p>
        </w:tc>
      </w:tr>
      <w:tr w14:paraId="22A31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364650DD">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0</w:t>
            </w:r>
          </w:p>
        </w:tc>
        <w:tc>
          <w:tcPr>
            <w:tcW w:w="1134" w:type="dxa"/>
          </w:tcPr>
          <w:p w14:paraId="42990294">
            <w:pPr>
              <w:rPr>
                <w:rFonts w:ascii="仿宋_GB2312" w:eastAsia="仿宋_GB2312"/>
                <w:sz w:val="28"/>
                <w:szCs w:val="28"/>
              </w:rPr>
            </w:pPr>
            <w:r>
              <w:rPr>
                <w:rFonts w:hint="eastAsia" w:ascii="仿宋_GB2312" w:eastAsia="仿宋_GB2312"/>
                <w:sz w:val="28"/>
                <w:szCs w:val="28"/>
              </w:rPr>
              <w:t>宗晓华</w:t>
            </w:r>
          </w:p>
        </w:tc>
        <w:tc>
          <w:tcPr>
            <w:tcW w:w="1553" w:type="dxa"/>
          </w:tcPr>
          <w:p w14:paraId="0304CEDF">
            <w:pPr>
              <w:spacing w:line="300" w:lineRule="exact"/>
              <w:jc w:val="center"/>
              <w:rPr>
                <w:rFonts w:ascii="仿宋_GB2312" w:eastAsia="仿宋_GB2312"/>
                <w:sz w:val="28"/>
                <w:szCs w:val="28"/>
              </w:rPr>
            </w:pPr>
            <w:r>
              <w:rPr>
                <w:rFonts w:hint="eastAsia" w:ascii="仿宋_GB2312" w:eastAsia="仿宋_GB2312"/>
                <w:sz w:val="28"/>
                <w:szCs w:val="28"/>
              </w:rPr>
              <w:t>地质调查与矿产勘查</w:t>
            </w:r>
          </w:p>
        </w:tc>
        <w:tc>
          <w:tcPr>
            <w:tcW w:w="1701" w:type="dxa"/>
          </w:tcPr>
          <w:p w14:paraId="6A80F216">
            <w:pPr>
              <w:rPr>
                <w:rFonts w:ascii="仿宋_GB2312" w:eastAsia="仿宋_GB2312"/>
                <w:sz w:val="28"/>
                <w:szCs w:val="28"/>
              </w:rPr>
            </w:pPr>
            <w:r>
              <w:rPr>
                <w:rFonts w:hint="eastAsia" w:ascii="仿宋_GB2312" w:eastAsia="仿宋_GB2312"/>
                <w:sz w:val="28"/>
                <w:szCs w:val="28"/>
              </w:rPr>
              <w:t>高级工程师</w:t>
            </w:r>
          </w:p>
        </w:tc>
        <w:tc>
          <w:tcPr>
            <w:tcW w:w="1985" w:type="dxa"/>
          </w:tcPr>
          <w:p w14:paraId="6FD43538">
            <w:pPr>
              <w:spacing w:line="300" w:lineRule="exact"/>
              <w:jc w:val="center"/>
              <w:rPr>
                <w:rFonts w:ascii="仿宋_GB2312" w:eastAsia="仿宋_GB2312"/>
                <w:sz w:val="28"/>
                <w:szCs w:val="28"/>
              </w:rPr>
            </w:pPr>
            <w:r>
              <w:rPr>
                <w:rFonts w:hint="eastAsia" w:ascii="仿宋_GB2312" w:eastAsia="仿宋_GB2312"/>
                <w:sz w:val="28"/>
                <w:szCs w:val="28"/>
              </w:rPr>
              <w:t>中陕核工业集团二一四大队有限公司</w:t>
            </w:r>
          </w:p>
        </w:tc>
        <w:tc>
          <w:tcPr>
            <w:tcW w:w="2409" w:type="dxa"/>
            <w:vAlign w:val="center"/>
          </w:tcPr>
          <w:p w14:paraId="3B0AA685">
            <w:pPr>
              <w:spacing w:line="300" w:lineRule="exact"/>
              <w:jc w:val="left"/>
              <w:rPr>
                <w:rFonts w:ascii="仿宋_GB2312" w:eastAsia="仿宋_GB2312"/>
                <w:sz w:val="28"/>
                <w:szCs w:val="28"/>
              </w:rPr>
            </w:pPr>
            <w:r>
              <w:rPr>
                <w:rFonts w:hint="eastAsia" w:ascii="仿宋_GB2312" w:eastAsia="仿宋_GB2312"/>
                <w:sz w:val="28"/>
                <w:szCs w:val="28"/>
              </w:rPr>
              <w:t>试验研究和实践验证</w:t>
            </w:r>
          </w:p>
        </w:tc>
      </w:tr>
      <w:tr w14:paraId="49CEA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6670445F">
            <w:pPr>
              <w:jc w:val="center"/>
              <w:rPr>
                <w:rFonts w:ascii="仿宋_GB2312" w:eastAsia="仿宋_GB2312"/>
                <w:sz w:val="28"/>
                <w:szCs w:val="28"/>
              </w:rPr>
            </w:pPr>
            <w:r>
              <w:rPr>
                <w:rFonts w:ascii="仿宋_GB2312" w:eastAsia="仿宋_GB2312"/>
                <w:sz w:val="28"/>
                <w:szCs w:val="28"/>
              </w:rPr>
              <w:t>11</w:t>
            </w:r>
          </w:p>
        </w:tc>
        <w:tc>
          <w:tcPr>
            <w:tcW w:w="1134" w:type="dxa"/>
            <w:vAlign w:val="center"/>
          </w:tcPr>
          <w:p w14:paraId="7BFBE9F8">
            <w:pPr>
              <w:spacing w:line="300" w:lineRule="exact"/>
              <w:jc w:val="center"/>
              <w:rPr>
                <w:rFonts w:ascii="仿宋_GB2312" w:eastAsia="仿宋_GB2312"/>
                <w:sz w:val="28"/>
                <w:szCs w:val="28"/>
              </w:rPr>
            </w:pPr>
            <w:r>
              <w:rPr>
                <w:rFonts w:hint="eastAsia" w:ascii="仿宋_GB2312" w:eastAsia="仿宋_GB2312"/>
                <w:sz w:val="28"/>
                <w:szCs w:val="28"/>
              </w:rPr>
              <w:t xml:space="preserve">闫 </w:t>
            </w:r>
            <w:r>
              <w:rPr>
                <w:rFonts w:ascii="仿宋_GB2312" w:eastAsia="仿宋_GB2312"/>
                <w:sz w:val="28"/>
                <w:szCs w:val="28"/>
              </w:rPr>
              <w:t xml:space="preserve"> </w:t>
            </w:r>
            <w:r>
              <w:rPr>
                <w:rFonts w:hint="eastAsia" w:ascii="仿宋_GB2312" w:eastAsia="仿宋_GB2312"/>
                <w:sz w:val="28"/>
                <w:szCs w:val="28"/>
              </w:rPr>
              <w:t>家</w:t>
            </w:r>
          </w:p>
        </w:tc>
        <w:tc>
          <w:tcPr>
            <w:tcW w:w="1553" w:type="dxa"/>
            <w:vAlign w:val="center"/>
          </w:tcPr>
          <w:p w14:paraId="0A4BB9CC">
            <w:pPr>
              <w:spacing w:line="300" w:lineRule="exact"/>
              <w:jc w:val="center"/>
              <w:rPr>
                <w:rFonts w:ascii="仿宋_GB2312" w:eastAsia="仿宋_GB2312"/>
                <w:sz w:val="28"/>
                <w:szCs w:val="28"/>
              </w:rPr>
            </w:pPr>
            <w:r>
              <w:rPr>
                <w:rFonts w:hint="eastAsia" w:ascii="仿宋_GB2312" w:eastAsia="仿宋_GB2312"/>
                <w:sz w:val="28"/>
                <w:szCs w:val="28"/>
              </w:rPr>
              <w:t>地质机械与仪器</w:t>
            </w:r>
          </w:p>
        </w:tc>
        <w:tc>
          <w:tcPr>
            <w:tcW w:w="1701" w:type="dxa"/>
            <w:vAlign w:val="center"/>
          </w:tcPr>
          <w:p w14:paraId="16236D67">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6828B4EC">
            <w:pPr>
              <w:spacing w:line="300" w:lineRule="exact"/>
              <w:jc w:val="center"/>
              <w:rPr>
                <w:rFonts w:ascii="仿宋_GB2312" w:eastAsia="仿宋_GB2312"/>
                <w:sz w:val="28"/>
                <w:szCs w:val="28"/>
              </w:rPr>
            </w:pPr>
            <w:r>
              <w:rPr>
                <w:rFonts w:hint="eastAsia" w:ascii="仿宋_GB2312" w:eastAsia="仿宋_GB2312"/>
                <w:sz w:val="28"/>
                <w:szCs w:val="28"/>
              </w:rPr>
              <w:t>中国地质科学院勘探技术研究所</w:t>
            </w:r>
          </w:p>
        </w:tc>
        <w:tc>
          <w:tcPr>
            <w:tcW w:w="2409" w:type="dxa"/>
            <w:vAlign w:val="center"/>
          </w:tcPr>
          <w:p w14:paraId="7CB1BDE3">
            <w:pPr>
              <w:rPr>
                <w:rFonts w:ascii="仿宋_GB2312" w:eastAsia="仿宋_GB2312"/>
                <w:sz w:val="28"/>
                <w:szCs w:val="28"/>
              </w:rPr>
            </w:pPr>
            <w:r>
              <w:rPr>
                <w:rFonts w:hint="eastAsia" w:ascii="仿宋_GB2312" w:eastAsia="仿宋_GB2312"/>
                <w:sz w:val="28"/>
                <w:szCs w:val="28"/>
              </w:rPr>
              <w:t>规范编写</w:t>
            </w:r>
          </w:p>
        </w:tc>
      </w:tr>
      <w:tr w14:paraId="2E4FC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18C9AC38">
            <w:pPr>
              <w:jc w:val="center"/>
              <w:rPr>
                <w:rFonts w:ascii="仿宋_GB2312" w:eastAsia="仿宋_GB2312"/>
                <w:sz w:val="28"/>
                <w:szCs w:val="28"/>
              </w:rPr>
            </w:pPr>
            <w:r>
              <w:rPr>
                <w:rFonts w:ascii="仿宋_GB2312" w:eastAsia="仿宋_GB2312"/>
                <w:sz w:val="28"/>
                <w:szCs w:val="28"/>
              </w:rPr>
              <w:t>12</w:t>
            </w:r>
          </w:p>
        </w:tc>
        <w:tc>
          <w:tcPr>
            <w:tcW w:w="1134" w:type="dxa"/>
            <w:vAlign w:val="center"/>
          </w:tcPr>
          <w:p w14:paraId="0BE09A57">
            <w:pPr>
              <w:jc w:val="center"/>
              <w:rPr>
                <w:rFonts w:ascii="仿宋_GB2312" w:eastAsia="仿宋_GB2312"/>
                <w:sz w:val="28"/>
                <w:szCs w:val="28"/>
              </w:rPr>
            </w:pPr>
            <w:r>
              <w:rPr>
                <w:rFonts w:hint="eastAsia" w:ascii="仿宋_GB2312" w:eastAsia="仿宋_GB2312"/>
                <w:sz w:val="28"/>
                <w:szCs w:val="28"/>
              </w:rPr>
              <w:t xml:space="preserve">尹 </w:t>
            </w:r>
            <w:r>
              <w:rPr>
                <w:rFonts w:ascii="仿宋_GB2312" w:eastAsia="仿宋_GB2312"/>
                <w:sz w:val="28"/>
                <w:szCs w:val="28"/>
              </w:rPr>
              <w:t xml:space="preserve"> </w:t>
            </w:r>
            <w:r>
              <w:rPr>
                <w:rFonts w:hint="eastAsia" w:ascii="仿宋_GB2312" w:eastAsia="仿宋_GB2312"/>
                <w:sz w:val="28"/>
                <w:szCs w:val="28"/>
              </w:rPr>
              <w:t>浩</w:t>
            </w:r>
          </w:p>
        </w:tc>
        <w:tc>
          <w:tcPr>
            <w:tcW w:w="1553" w:type="dxa"/>
            <w:vAlign w:val="center"/>
          </w:tcPr>
          <w:p w14:paraId="428DC5B6">
            <w:pPr>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53E6A33E">
            <w:pPr>
              <w:jc w:val="cente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52117057">
            <w:pPr>
              <w:spacing w:line="300" w:lineRule="exact"/>
              <w:jc w:val="center"/>
              <w:rPr>
                <w:rFonts w:ascii="仿宋_GB2312" w:eastAsia="仿宋_GB2312"/>
                <w:sz w:val="28"/>
                <w:szCs w:val="28"/>
              </w:rPr>
            </w:pPr>
            <w:r>
              <w:rPr>
                <w:rFonts w:hint="eastAsia" w:ascii="仿宋_GB2312" w:eastAsia="仿宋_GB2312"/>
                <w:sz w:val="28"/>
                <w:szCs w:val="28"/>
              </w:rPr>
              <w:t>中国地质科学院勘探技术研究所</w:t>
            </w:r>
          </w:p>
        </w:tc>
        <w:tc>
          <w:tcPr>
            <w:tcW w:w="2409" w:type="dxa"/>
            <w:vAlign w:val="center"/>
          </w:tcPr>
          <w:p w14:paraId="020FAC40">
            <w:pPr>
              <w:spacing w:line="300" w:lineRule="exact"/>
              <w:jc w:val="left"/>
              <w:rPr>
                <w:rFonts w:ascii="仿宋_GB2312" w:eastAsia="仿宋_GB2312"/>
                <w:sz w:val="28"/>
                <w:szCs w:val="28"/>
              </w:rPr>
            </w:pPr>
            <w:r>
              <w:rPr>
                <w:rFonts w:hint="eastAsia" w:ascii="仿宋_GB2312" w:eastAsia="仿宋_GB2312"/>
                <w:sz w:val="28"/>
                <w:szCs w:val="28"/>
              </w:rPr>
              <w:t>试验研究和实践验证</w:t>
            </w:r>
          </w:p>
        </w:tc>
      </w:tr>
      <w:tr w14:paraId="43AB3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45036532">
            <w:pPr>
              <w:jc w:val="center"/>
              <w:rPr>
                <w:rFonts w:ascii="仿宋_GB2312" w:eastAsia="仿宋_GB2312"/>
                <w:sz w:val="28"/>
                <w:szCs w:val="28"/>
              </w:rPr>
            </w:pPr>
            <w:r>
              <w:rPr>
                <w:rFonts w:ascii="仿宋_GB2312" w:eastAsia="仿宋_GB2312"/>
                <w:sz w:val="28"/>
                <w:szCs w:val="28"/>
              </w:rPr>
              <w:t>13</w:t>
            </w:r>
          </w:p>
        </w:tc>
        <w:tc>
          <w:tcPr>
            <w:tcW w:w="1134" w:type="dxa"/>
            <w:vAlign w:val="center"/>
          </w:tcPr>
          <w:p w14:paraId="2E4DF6F2">
            <w:pPr>
              <w:spacing w:line="300" w:lineRule="exact"/>
              <w:jc w:val="center"/>
              <w:rPr>
                <w:rFonts w:ascii="仿宋_GB2312" w:eastAsia="仿宋_GB2312"/>
                <w:sz w:val="28"/>
                <w:szCs w:val="28"/>
              </w:rPr>
            </w:pPr>
            <w:r>
              <w:rPr>
                <w:rFonts w:ascii="仿宋_GB2312" w:eastAsia="仿宋_GB2312"/>
                <w:sz w:val="28"/>
                <w:szCs w:val="28"/>
              </w:rPr>
              <w:t>张</w:t>
            </w:r>
            <w:r>
              <w:rPr>
                <w:rFonts w:hint="eastAsia" w:ascii="仿宋_GB2312" w:eastAsia="仿宋_GB2312"/>
                <w:sz w:val="28"/>
                <w:szCs w:val="28"/>
              </w:rPr>
              <w:t xml:space="preserve"> </w:t>
            </w:r>
            <w:r>
              <w:rPr>
                <w:rFonts w:ascii="仿宋_GB2312" w:eastAsia="仿宋_GB2312"/>
                <w:sz w:val="28"/>
                <w:szCs w:val="28"/>
              </w:rPr>
              <w:t xml:space="preserve"> 振</w:t>
            </w:r>
          </w:p>
        </w:tc>
        <w:tc>
          <w:tcPr>
            <w:tcW w:w="1553" w:type="dxa"/>
            <w:vAlign w:val="center"/>
          </w:tcPr>
          <w:p w14:paraId="00077C35">
            <w:pPr>
              <w:spacing w:line="300" w:lineRule="exact"/>
              <w:jc w:val="center"/>
              <w:rPr>
                <w:rFonts w:ascii="仿宋_GB2312" w:eastAsia="仿宋_GB2312"/>
                <w:sz w:val="28"/>
                <w:szCs w:val="28"/>
              </w:rPr>
            </w:pPr>
            <w:r>
              <w:rPr>
                <w:rFonts w:hint="eastAsia" w:ascii="仿宋_GB2312" w:eastAsia="仿宋_GB2312"/>
                <w:sz w:val="28"/>
                <w:szCs w:val="28"/>
              </w:rPr>
              <w:t>地质矿产</w:t>
            </w:r>
          </w:p>
        </w:tc>
        <w:tc>
          <w:tcPr>
            <w:tcW w:w="1701" w:type="dxa"/>
            <w:vAlign w:val="center"/>
          </w:tcPr>
          <w:p w14:paraId="3A34AC03">
            <w:pPr>
              <w:spacing w:line="300" w:lineRule="exact"/>
              <w:jc w:val="center"/>
              <w:rPr>
                <w:rFonts w:ascii="仿宋_GB2312" w:eastAsia="仿宋_GB2312"/>
                <w:sz w:val="28"/>
                <w:szCs w:val="28"/>
              </w:rPr>
            </w:pPr>
            <w:r>
              <w:rPr>
                <w:rFonts w:ascii="仿宋_GB2312" w:eastAsia="仿宋_GB2312"/>
                <w:sz w:val="28"/>
                <w:szCs w:val="28"/>
              </w:rPr>
              <w:t>高级工程师</w:t>
            </w:r>
          </w:p>
        </w:tc>
        <w:tc>
          <w:tcPr>
            <w:tcW w:w="1985" w:type="dxa"/>
            <w:vAlign w:val="center"/>
          </w:tcPr>
          <w:p w14:paraId="11B7AFC2">
            <w:pPr>
              <w:spacing w:line="300" w:lineRule="exact"/>
              <w:jc w:val="center"/>
              <w:rPr>
                <w:rFonts w:ascii="仿宋_GB2312" w:eastAsia="仿宋_GB2312"/>
                <w:sz w:val="28"/>
                <w:szCs w:val="28"/>
              </w:rPr>
            </w:pPr>
            <w:r>
              <w:rPr>
                <w:rFonts w:ascii="仿宋_GB2312" w:eastAsia="仿宋_GB2312"/>
                <w:sz w:val="28"/>
                <w:szCs w:val="28"/>
              </w:rPr>
              <w:t>中国地质调查局西安矿产资源调查中心</w:t>
            </w:r>
          </w:p>
        </w:tc>
        <w:tc>
          <w:tcPr>
            <w:tcW w:w="2409" w:type="dxa"/>
            <w:vAlign w:val="center"/>
          </w:tcPr>
          <w:p w14:paraId="4EDE5D39">
            <w:pPr>
              <w:spacing w:line="300" w:lineRule="exact"/>
              <w:jc w:val="left"/>
              <w:rPr>
                <w:rFonts w:ascii="仿宋_GB2312" w:eastAsia="仿宋_GB2312"/>
                <w:sz w:val="28"/>
                <w:szCs w:val="28"/>
              </w:rPr>
            </w:pPr>
            <w:r>
              <w:rPr>
                <w:rFonts w:hint="eastAsia" w:ascii="仿宋_GB2312" w:eastAsia="仿宋_GB2312"/>
                <w:sz w:val="28"/>
                <w:szCs w:val="28"/>
              </w:rPr>
              <w:t>试验研究和实践验证</w:t>
            </w:r>
          </w:p>
        </w:tc>
      </w:tr>
      <w:tr w14:paraId="76B82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19CE1C39">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4</w:t>
            </w:r>
          </w:p>
        </w:tc>
        <w:tc>
          <w:tcPr>
            <w:tcW w:w="1134" w:type="dxa"/>
            <w:vAlign w:val="center"/>
          </w:tcPr>
          <w:p w14:paraId="131D73ED">
            <w:pPr>
              <w:spacing w:line="300" w:lineRule="exact"/>
              <w:jc w:val="center"/>
              <w:rPr>
                <w:rFonts w:ascii="仿宋_GB2312" w:eastAsia="仿宋_GB2312"/>
                <w:sz w:val="28"/>
                <w:szCs w:val="28"/>
              </w:rPr>
            </w:pPr>
            <w:r>
              <w:rPr>
                <w:rFonts w:hint="eastAsia" w:ascii="仿宋_GB2312" w:eastAsia="仿宋_GB2312"/>
                <w:sz w:val="28"/>
                <w:szCs w:val="28"/>
              </w:rPr>
              <w:t xml:space="preserve">张 </w:t>
            </w:r>
            <w:r>
              <w:rPr>
                <w:rFonts w:ascii="仿宋_GB2312" w:eastAsia="仿宋_GB2312"/>
                <w:sz w:val="28"/>
                <w:szCs w:val="28"/>
              </w:rPr>
              <w:t xml:space="preserve"> </w:t>
            </w:r>
            <w:r>
              <w:rPr>
                <w:rFonts w:hint="eastAsia" w:ascii="仿宋_GB2312" w:eastAsia="仿宋_GB2312"/>
                <w:sz w:val="28"/>
                <w:szCs w:val="28"/>
              </w:rPr>
              <w:t>雄</w:t>
            </w:r>
          </w:p>
        </w:tc>
        <w:tc>
          <w:tcPr>
            <w:tcW w:w="1553" w:type="dxa"/>
            <w:vAlign w:val="center"/>
          </w:tcPr>
          <w:p w14:paraId="6BF50DEE">
            <w:pPr>
              <w:spacing w:line="300" w:lineRule="exact"/>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33246490">
            <w:pPr>
              <w:spacing w:line="300" w:lineRule="exact"/>
              <w:jc w:val="center"/>
              <w:rPr>
                <w:rFonts w:ascii="仿宋_GB2312" w:eastAsia="仿宋_GB2312"/>
                <w:sz w:val="28"/>
                <w:szCs w:val="28"/>
              </w:rPr>
            </w:pPr>
            <w:r>
              <w:rPr>
                <w:rFonts w:ascii="仿宋_GB2312" w:eastAsia="仿宋_GB2312"/>
                <w:sz w:val="28"/>
                <w:szCs w:val="28"/>
              </w:rPr>
              <w:t>高级工程师</w:t>
            </w:r>
          </w:p>
        </w:tc>
        <w:tc>
          <w:tcPr>
            <w:tcW w:w="1985" w:type="dxa"/>
            <w:vAlign w:val="center"/>
          </w:tcPr>
          <w:p w14:paraId="1632C0F5">
            <w:pPr>
              <w:spacing w:line="300" w:lineRule="exact"/>
              <w:jc w:val="center"/>
              <w:rPr>
                <w:rFonts w:ascii="仿宋_GB2312" w:eastAsia="仿宋_GB2312"/>
                <w:sz w:val="28"/>
                <w:szCs w:val="28"/>
              </w:rPr>
            </w:pPr>
            <w:r>
              <w:rPr>
                <w:rFonts w:ascii="仿宋_GB2312" w:eastAsia="仿宋_GB2312"/>
                <w:sz w:val="28"/>
                <w:szCs w:val="28"/>
              </w:rPr>
              <w:t>中国地质调查局西安矿产资源调查中心</w:t>
            </w:r>
          </w:p>
        </w:tc>
        <w:tc>
          <w:tcPr>
            <w:tcW w:w="2409" w:type="dxa"/>
            <w:vAlign w:val="center"/>
          </w:tcPr>
          <w:p w14:paraId="342125E9">
            <w:pPr>
              <w:spacing w:line="300" w:lineRule="exact"/>
              <w:jc w:val="left"/>
              <w:rPr>
                <w:rFonts w:ascii="仿宋_GB2312" w:eastAsia="仿宋_GB2312"/>
                <w:sz w:val="28"/>
                <w:szCs w:val="28"/>
              </w:rPr>
            </w:pPr>
            <w:bookmarkStart w:id="4" w:name="OLE_LINK5"/>
            <w:bookmarkStart w:id="5" w:name="OLE_LINK8"/>
            <w:r>
              <w:rPr>
                <w:rFonts w:hint="eastAsia" w:ascii="仿宋_GB2312" w:eastAsia="仿宋_GB2312"/>
                <w:sz w:val="28"/>
                <w:szCs w:val="28"/>
              </w:rPr>
              <w:t>试验研究和实践验证</w:t>
            </w:r>
            <w:bookmarkEnd w:id="4"/>
            <w:bookmarkEnd w:id="5"/>
          </w:p>
        </w:tc>
      </w:tr>
      <w:tr w14:paraId="0E5E8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12397B1F">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5</w:t>
            </w:r>
          </w:p>
        </w:tc>
        <w:tc>
          <w:tcPr>
            <w:tcW w:w="1134" w:type="dxa"/>
            <w:vAlign w:val="center"/>
          </w:tcPr>
          <w:p w14:paraId="42350BA2">
            <w:pPr>
              <w:jc w:val="center"/>
              <w:rPr>
                <w:rFonts w:ascii="仿宋_GB2312" w:eastAsia="仿宋_GB2312"/>
                <w:sz w:val="28"/>
                <w:szCs w:val="28"/>
              </w:rPr>
            </w:pPr>
            <w:r>
              <w:rPr>
                <w:rFonts w:hint="eastAsia" w:ascii="仿宋_GB2312" w:eastAsia="仿宋_GB2312"/>
                <w:sz w:val="28"/>
                <w:szCs w:val="28"/>
              </w:rPr>
              <w:t>朝银银</w:t>
            </w:r>
          </w:p>
        </w:tc>
        <w:tc>
          <w:tcPr>
            <w:tcW w:w="1553" w:type="dxa"/>
            <w:vAlign w:val="center"/>
          </w:tcPr>
          <w:p w14:paraId="080C289C">
            <w:pPr>
              <w:jc w:val="center"/>
              <w:rPr>
                <w:rFonts w:ascii="仿宋_GB2312" w:eastAsia="仿宋_GB2312"/>
                <w:sz w:val="28"/>
                <w:szCs w:val="28"/>
              </w:rPr>
            </w:pPr>
            <w:r>
              <w:rPr>
                <w:rFonts w:hint="eastAsia" w:ascii="仿宋_GB2312" w:eastAsia="仿宋_GB2312"/>
                <w:sz w:val="28"/>
                <w:szCs w:val="28"/>
              </w:rPr>
              <w:t>地质矿产</w:t>
            </w:r>
          </w:p>
        </w:tc>
        <w:tc>
          <w:tcPr>
            <w:tcW w:w="1701" w:type="dxa"/>
            <w:vAlign w:val="center"/>
          </w:tcPr>
          <w:p w14:paraId="557EAB95">
            <w:pPr>
              <w:rPr>
                <w:rFonts w:ascii="仿宋_GB2312" w:eastAsia="仿宋_GB2312"/>
                <w:sz w:val="28"/>
                <w:szCs w:val="28"/>
              </w:rPr>
            </w:pPr>
            <w:r>
              <w:rPr>
                <w:rFonts w:hint="eastAsia" w:ascii="仿宋_GB2312" w:eastAsia="仿宋_GB2312"/>
                <w:sz w:val="28"/>
                <w:szCs w:val="28"/>
              </w:rPr>
              <w:t>高级工程师</w:t>
            </w:r>
          </w:p>
        </w:tc>
        <w:tc>
          <w:tcPr>
            <w:tcW w:w="1985" w:type="dxa"/>
            <w:vAlign w:val="center"/>
          </w:tcPr>
          <w:p w14:paraId="778954D5">
            <w:pPr>
              <w:spacing w:line="300" w:lineRule="exact"/>
              <w:jc w:val="center"/>
              <w:rPr>
                <w:rFonts w:ascii="仿宋_GB2312" w:eastAsia="仿宋_GB2312"/>
                <w:sz w:val="28"/>
                <w:szCs w:val="28"/>
              </w:rPr>
            </w:pPr>
            <w:bookmarkStart w:id="6" w:name="OLE_LINK2"/>
            <w:bookmarkStart w:id="7" w:name="OLE_LINK1"/>
            <w:r>
              <w:rPr>
                <w:rFonts w:hint="eastAsia" w:ascii="仿宋_GB2312" w:eastAsia="仿宋_GB2312"/>
                <w:sz w:val="28"/>
                <w:szCs w:val="28"/>
              </w:rPr>
              <w:t>中国地质调查局西安矿产资源调查中心</w:t>
            </w:r>
            <w:bookmarkEnd w:id="6"/>
            <w:bookmarkEnd w:id="7"/>
          </w:p>
        </w:tc>
        <w:tc>
          <w:tcPr>
            <w:tcW w:w="2409" w:type="dxa"/>
            <w:vAlign w:val="center"/>
          </w:tcPr>
          <w:p w14:paraId="6A886A2F">
            <w:pPr>
              <w:rPr>
                <w:rFonts w:ascii="仿宋_GB2312" w:eastAsia="仿宋_GB2312"/>
                <w:sz w:val="28"/>
                <w:szCs w:val="28"/>
              </w:rPr>
            </w:pPr>
            <w:r>
              <w:rPr>
                <w:rFonts w:hint="eastAsia" w:ascii="仿宋_GB2312" w:eastAsia="仿宋_GB2312"/>
                <w:sz w:val="28"/>
                <w:szCs w:val="28"/>
              </w:rPr>
              <w:t>校对排版</w:t>
            </w:r>
          </w:p>
        </w:tc>
      </w:tr>
      <w:tr w14:paraId="52BAB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5AB5419B">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6</w:t>
            </w:r>
          </w:p>
        </w:tc>
        <w:tc>
          <w:tcPr>
            <w:tcW w:w="1134" w:type="dxa"/>
            <w:vAlign w:val="center"/>
          </w:tcPr>
          <w:p w14:paraId="76A2ACCC">
            <w:pPr>
              <w:jc w:val="center"/>
              <w:rPr>
                <w:rFonts w:ascii="仿宋_GB2312" w:eastAsia="仿宋_GB2312"/>
                <w:sz w:val="28"/>
                <w:szCs w:val="28"/>
              </w:rPr>
            </w:pPr>
            <w:r>
              <w:rPr>
                <w:rFonts w:ascii="仿宋_GB2312" w:eastAsia="仿宋_GB2312"/>
                <w:sz w:val="28"/>
                <w:szCs w:val="28"/>
              </w:rPr>
              <w:t>段</w:t>
            </w:r>
            <w:r>
              <w:rPr>
                <w:rFonts w:hint="eastAsia" w:ascii="仿宋_GB2312" w:eastAsia="仿宋_GB2312"/>
                <w:sz w:val="28"/>
                <w:szCs w:val="28"/>
              </w:rPr>
              <w:t xml:space="preserve"> </w:t>
            </w:r>
            <w:r>
              <w:rPr>
                <w:rFonts w:ascii="仿宋_GB2312" w:eastAsia="仿宋_GB2312"/>
                <w:sz w:val="28"/>
                <w:szCs w:val="28"/>
              </w:rPr>
              <w:t xml:space="preserve"> 晓</w:t>
            </w:r>
          </w:p>
        </w:tc>
        <w:tc>
          <w:tcPr>
            <w:tcW w:w="1553" w:type="dxa"/>
            <w:vAlign w:val="center"/>
          </w:tcPr>
          <w:p w14:paraId="59CC17FA">
            <w:pPr>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05C0B40E">
            <w:pPr>
              <w:jc w:val="center"/>
              <w:rPr>
                <w:rFonts w:ascii="仿宋_GB2312" w:eastAsia="仿宋_GB2312"/>
                <w:sz w:val="28"/>
                <w:szCs w:val="28"/>
              </w:rPr>
            </w:pPr>
            <w:r>
              <w:rPr>
                <w:rFonts w:hint="eastAsia" w:ascii="仿宋_GB2312" w:eastAsia="仿宋_GB2312"/>
                <w:sz w:val="28"/>
                <w:szCs w:val="28"/>
              </w:rPr>
              <w:t>工程师</w:t>
            </w:r>
          </w:p>
        </w:tc>
        <w:tc>
          <w:tcPr>
            <w:tcW w:w="1985" w:type="dxa"/>
            <w:vAlign w:val="center"/>
          </w:tcPr>
          <w:p w14:paraId="4CC83595">
            <w:pPr>
              <w:spacing w:line="300" w:lineRule="exact"/>
              <w:jc w:val="center"/>
              <w:rPr>
                <w:rFonts w:ascii="仿宋_GB2312" w:eastAsia="仿宋_GB2312"/>
                <w:sz w:val="28"/>
                <w:szCs w:val="28"/>
              </w:rPr>
            </w:pPr>
            <w:r>
              <w:rPr>
                <w:rFonts w:hint="eastAsia" w:ascii="仿宋_GB2312" w:eastAsia="仿宋_GB2312"/>
                <w:sz w:val="28"/>
                <w:szCs w:val="28"/>
              </w:rPr>
              <w:t>中国地质调查局西安矿产资源调查中心</w:t>
            </w:r>
          </w:p>
        </w:tc>
        <w:tc>
          <w:tcPr>
            <w:tcW w:w="2409" w:type="dxa"/>
            <w:vAlign w:val="center"/>
          </w:tcPr>
          <w:p w14:paraId="37BC6D52">
            <w:pPr>
              <w:spacing w:line="300" w:lineRule="exact"/>
              <w:jc w:val="left"/>
              <w:rPr>
                <w:rFonts w:ascii="仿宋_GB2312" w:eastAsia="仿宋_GB2312"/>
                <w:sz w:val="28"/>
                <w:szCs w:val="28"/>
              </w:rPr>
            </w:pPr>
            <w:r>
              <w:rPr>
                <w:rFonts w:hint="eastAsia" w:ascii="仿宋_GB2312" w:eastAsia="仿宋_GB2312"/>
                <w:sz w:val="28"/>
                <w:szCs w:val="28"/>
              </w:rPr>
              <w:t>资料收集和报送相关材料</w:t>
            </w:r>
          </w:p>
        </w:tc>
      </w:tr>
      <w:tr w14:paraId="6EFCC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5FAFABFF">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7</w:t>
            </w:r>
          </w:p>
        </w:tc>
        <w:tc>
          <w:tcPr>
            <w:tcW w:w="1134" w:type="dxa"/>
            <w:vAlign w:val="center"/>
          </w:tcPr>
          <w:p w14:paraId="716641FB">
            <w:pPr>
              <w:jc w:val="center"/>
              <w:rPr>
                <w:rFonts w:ascii="仿宋_GB2312" w:eastAsia="仿宋_GB2312"/>
                <w:sz w:val="28"/>
                <w:szCs w:val="28"/>
              </w:rPr>
            </w:pPr>
            <w:r>
              <w:rPr>
                <w:rFonts w:hint="eastAsia" w:ascii="仿宋_GB2312" w:eastAsia="仿宋_GB2312"/>
                <w:sz w:val="28"/>
                <w:szCs w:val="28"/>
              </w:rPr>
              <w:t xml:space="preserve">常 </w:t>
            </w:r>
            <w:r>
              <w:rPr>
                <w:rFonts w:ascii="仿宋_GB2312" w:eastAsia="仿宋_GB2312"/>
                <w:sz w:val="28"/>
                <w:szCs w:val="28"/>
              </w:rPr>
              <w:t xml:space="preserve"> </w:t>
            </w:r>
            <w:r>
              <w:rPr>
                <w:rFonts w:hint="eastAsia" w:ascii="仿宋_GB2312" w:eastAsia="仿宋_GB2312"/>
                <w:sz w:val="28"/>
                <w:szCs w:val="28"/>
              </w:rPr>
              <w:t>亮</w:t>
            </w:r>
          </w:p>
        </w:tc>
        <w:tc>
          <w:tcPr>
            <w:tcW w:w="1553" w:type="dxa"/>
            <w:vAlign w:val="center"/>
          </w:tcPr>
          <w:p w14:paraId="7AFE2D0C">
            <w:pPr>
              <w:jc w:val="center"/>
              <w:rPr>
                <w:rFonts w:ascii="仿宋_GB2312" w:eastAsia="仿宋_GB2312"/>
                <w:sz w:val="28"/>
                <w:szCs w:val="28"/>
              </w:rPr>
            </w:pPr>
            <w:r>
              <w:rPr>
                <w:rFonts w:hint="eastAsia" w:ascii="仿宋_GB2312" w:eastAsia="仿宋_GB2312"/>
                <w:sz w:val="28"/>
                <w:szCs w:val="28"/>
              </w:rPr>
              <w:t>地质矿产</w:t>
            </w:r>
          </w:p>
        </w:tc>
        <w:tc>
          <w:tcPr>
            <w:tcW w:w="1701" w:type="dxa"/>
            <w:vAlign w:val="center"/>
          </w:tcPr>
          <w:p w14:paraId="041310BC">
            <w:pPr>
              <w:jc w:val="center"/>
              <w:rPr>
                <w:rFonts w:ascii="仿宋_GB2312" w:eastAsia="仿宋_GB2312"/>
                <w:sz w:val="28"/>
                <w:szCs w:val="28"/>
              </w:rPr>
            </w:pPr>
            <w:r>
              <w:rPr>
                <w:rFonts w:hint="eastAsia" w:ascii="仿宋_GB2312" w:eastAsia="仿宋_GB2312"/>
                <w:sz w:val="28"/>
                <w:szCs w:val="28"/>
              </w:rPr>
              <w:t>工程师</w:t>
            </w:r>
          </w:p>
        </w:tc>
        <w:tc>
          <w:tcPr>
            <w:tcW w:w="1985" w:type="dxa"/>
            <w:vAlign w:val="center"/>
          </w:tcPr>
          <w:p w14:paraId="6A75BB02">
            <w:pPr>
              <w:spacing w:line="300" w:lineRule="exact"/>
              <w:jc w:val="center"/>
              <w:rPr>
                <w:rFonts w:ascii="仿宋_GB2312" w:eastAsia="仿宋_GB2312"/>
                <w:sz w:val="28"/>
                <w:szCs w:val="28"/>
              </w:rPr>
            </w:pPr>
            <w:r>
              <w:rPr>
                <w:rFonts w:hint="eastAsia" w:ascii="仿宋_GB2312" w:eastAsia="仿宋_GB2312"/>
                <w:sz w:val="28"/>
                <w:szCs w:val="28"/>
              </w:rPr>
              <w:t>中国地质调查局西安矿产资源调查中心</w:t>
            </w:r>
          </w:p>
        </w:tc>
        <w:tc>
          <w:tcPr>
            <w:tcW w:w="2409" w:type="dxa"/>
            <w:vAlign w:val="center"/>
          </w:tcPr>
          <w:p w14:paraId="41943D34">
            <w:pPr>
              <w:rPr>
                <w:rFonts w:ascii="仿宋_GB2312" w:eastAsia="仿宋_GB2312"/>
                <w:sz w:val="28"/>
                <w:szCs w:val="28"/>
              </w:rPr>
            </w:pPr>
            <w:bookmarkStart w:id="8" w:name="OLE_LINK3"/>
            <w:bookmarkStart w:id="9" w:name="OLE_LINK4"/>
            <w:r>
              <w:rPr>
                <w:rFonts w:hint="eastAsia" w:ascii="仿宋_GB2312" w:eastAsia="仿宋_GB2312"/>
                <w:sz w:val="28"/>
                <w:szCs w:val="28"/>
              </w:rPr>
              <w:t>调研和资料收集</w:t>
            </w:r>
            <w:bookmarkEnd w:id="8"/>
            <w:bookmarkEnd w:id="9"/>
          </w:p>
        </w:tc>
      </w:tr>
      <w:tr w14:paraId="1C2BE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72B558E1">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8</w:t>
            </w:r>
          </w:p>
        </w:tc>
        <w:tc>
          <w:tcPr>
            <w:tcW w:w="1134" w:type="dxa"/>
            <w:vAlign w:val="center"/>
          </w:tcPr>
          <w:p w14:paraId="321FAAD9">
            <w:pPr>
              <w:spacing w:line="300" w:lineRule="exact"/>
              <w:jc w:val="center"/>
              <w:rPr>
                <w:rFonts w:ascii="仿宋_GB2312" w:eastAsia="仿宋_GB2312"/>
                <w:sz w:val="28"/>
                <w:szCs w:val="28"/>
              </w:rPr>
            </w:pPr>
            <w:r>
              <w:rPr>
                <w:rFonts w:hint="eastAsia" w:ascii="仿宋_GB2312" w:eastAsia="仿宋_GB2312"/>
                <w:sz w:val="28"/>
                <w:szCs w:val="28"/>
              </w:rPr>
              <w:t>牛秋生</w:t>
            </w:r>
          </w:p>
        </w:tc>
        <w:tc>
          <w:tcPr>
            <w:tcW w:w="1553" w:type="dxa"/>
            <w:vAlign w:val="center"/>
          </w:tcPr>
          <w:p w14:paraId="03EA0B18">
            <w:pPr>
              <w:spacing w:line="300" w:lineRule="exact"/>
              <w:jc w:val="center"/>
              <w:rPr>
                <w:rFonts w:ascii="仿宋_GB2312" w:eastAsia="仿宋_GB2312"/>
                <w:sz w:val="28"/>
                <w:szCs w:val="28"/>
              </w:rPr>
            </w:pPr>
            <w:r>
              <w:rPr>
                <w:rFonts w:hint="eastAsia" w:ascii="仿宋_GB2312" w:eastAsia="仿宋_GB2312"/>
                <w:sz w:val="28"/>
                <w:szCs w:val="28"/>
              </w:rPr>
              <w:t>水工环</w:t>
            </w:r>
          </w:p>
        </w:tc>
        <w:tc>
          <w:tcPr>
            <w:tcW w:w="1701" w:type="dxa"/>
            <w:vAlign w:val="center"/>
          </w:tcPr>
          <w:p w14:paraId="44B85D67">
            <w:pPr>
              <w:spacing w:line="300" w:lineRule="exact"/>
              <w:jc w:val="center"/>
              <w:rPr>
                <w:rFonts w:ascii="仿宋_GB2312" w:eastAsia="仿宋_GB2312"/>
                <w:sz w:val="28"/>
                <w:szCs w:val="28"/>
              </w:rPr>
            </w:pPr>
            <w:r>
              <w:rPr>
                <w:rFonts w:ascii="仿宋_GB2312" w:eastAsia="仿宋_GB2312"/>
                <w:sz w:val="28"/>
                <w:szCs w:val="28"/>
              </w:rPr>
              <w:t>高级工程师</w:t>
            </w:r>
          </w:p>
        </w:tc>
        <w:tc>
          <w:tcPr>
            <w:tcW w:w="1985" w:type="dxa"/>
            <w:vAlign w:val="center"/>
          </w:tcPr>
          <w:p w14:paraId="6FE40F68">
            <w:pPr>
              <w:spacing w:line="300" w:lineRule="exact"/>
              <w:jc w:val="center"/>
              <w:rPr>
                <w:rFonts w:ascii="仿宋_GB2312" w:eastAsia="仿宋_GB2312"/>
                <w:sz w:val="28"/>
                <w:szCs w:val="28"/>
              </w:rPr>
            </w:pPr>
            <w:r>
              <w:rPr>
                <w:rFonts w:ascii="仿宋_GB2312" w:eastAsia="仿宋_GB2312"/>
                <w:sz w:val="28"/>
                <w:szCs w:val="28"/>
              </w:rPr>
              <w:t>中国地质调查局西安矿产资源调查中心</w:t>
            </w:r>
          </w:p>
        </w:tc>
        <w:tc>
          <w:tcPr>
            <w:tcW w:w="2409" w:type="dxa"/>
            <w:vAlign w:val="center"/>
          </w:tcPr>
          <w:p w14:paraId="1B300491">
            <w:pPr>
              <w:rPr>
                <w:rFonts w:ascii="仿宋_GB2312" w:eastAsia="仿宋_GB2312"/>
                <w:sz w:val="28"/>
                <w:szCs w:val="28"/>
              </w:rPr>
            </w:pPr>
            <w:r>
              <w:rPr>
                <w:rFonts w:hint="eastAsia" w:ascii="仿宋_GB2312" w:eastAsia="仿宋_GB2312"/>
                <w:sz w:val="28"/>
                <w:szCs w:val="28"/>
              </w:rPr>
              <w:t>调研和资料收集</w:t>
            </w:r>
          </w:p>
        </w:tc>
      </w:tr>
      <w:tr w14:paraId="1508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vAlign w:val="center"/>
          </w:tcPr>
          <w:p w14:paraId="5AF73F2F">
            <w:pPr>
              <w:jc w:val="center"/>
              <w:rPr>
                <w:rFonts w:ascii="仿宋_GB2312" w:eastAsia="仿宋_GB2312"/>
                <w:sz w:val="28"/>
                <w:szCs w:val="28"/>
              </w:rPr>
            </w:pPr>
            <w:r>
              <w:rPr>
                <w:rFonts w:hint="eastAsia" w:ascii="仿宋_GB2312" w:eastAsia="仿宋_GB2312"/>
                <w:sz w:val="28"/>
                <w:szCs w:val="28"/>
              </w:rPr>
              <w:t>1</w:t>
            </w:r>
            <w:r>
              <w:rPr>
                <w:rFonts w:ascii="仿宋_GB2312" w:eastAsia="仿宋_GB2312"/>
                <w:sz w:val="28"/>
                <w:szCs w:val="28"/>
              </w:rPr>
              <w:t>9</w:t>
            </w:r>
          </w:p>
        </w:tc>
        <w:tc>
          <w:tcPr>
            <w:tcW w:w="1134" w:type="dxa"/>
            <w:vAlign w:val="center"/>
          </w:tcPr>
          <w:p w14:paraId="5A3FCC8F">
            <w:pPr>
              <w:spacing w:line="300" w:lineRule="exact"/>
              <w:jc w:val="center"/>
              <w:rPr>
                <w:rFonts w:ascii="仿宋_GB2312" w:eastAsia="仿宋_GB2312"/>
                <w:sz w:val="28"/>
                <w:szCs w:val="28"/>
              </w:rPr>
            </w:pPr>
            <w:r>
              <w:rPr>
                <w:rFonts w:ascii="仿宋_GB2312" w:eastAsia="仿宋_GB2312"/>
                <w:sz w:val="28"/>
                <w:szCs w:val="28"/>
              </w:rPr>
              <w:t>皮健伟</w:t>
            </w:r>
          </w:p>
        </w:tc>
        <w:tc>
          <w:tcPr>
            <w:tcW w:w="1553" w:type="dxa"/>
            <w:vAlign w:val="center"/>
          </w:tcPr>
          <w:p w14:paraId="5C9765A9">
            <w:pPr>
              <w:spacing w:line="300" w:lineRule="exact"/>
              <w:jc w:val="center"/>
              <w:rPr>
                <w:rFonts w:ascii="仿宋_GB2312" w:eastAsia="仿宋_GB2312"/>
                <w:sz w:val="28"/>
                <w:szCs w:val="28"/>
              </w:rPr>
            </w:pPr>
            <w:r>
              <w:rPr>
                <w:rFonts w:hint="eastAsia" w:ascii="仿宋_GB2312" w:eastAsia="仿宋_GB2312"/>
                <w:sz w:val="28"/>
                <w:szCs w:val="28"/>
              </w:rPr>
              <w:t>探矿工程</w:t>
            </w:r>
          </w:p>
        </w:tc>
        <w:tc>
          <w:tcPr>
            <w:tcW w:w="1701" w:type="dxa"/>
            <w:vAlign w:val="center"/>
          </w:tcPr>
          <w:p w14:paraId="3723EAD3">
            <w:pPr>
              <w:spacing w:line="300" w:lineRule="exact"/>
              <w:jc w:val="center"/>
              <w:rPr>
                <w:rFonts w:ascii="仿宋_GB2312" w:eastAsia="仿宋_GB2312"/>
                <w:sz w:val="28"/>
                <w:szCs w:val="28"/>
              </w:rPr>
            </w:pPr>
            <w:r>
              <w:rPr>
                <w:rFonts w:ascii="仿宋_GB2312" w:eastAsia="仿宋_GB2312"/>
                <w:sz w:val="28"/>
                <w:szCs w:val="28"/>
              </w:rPr>
              <w:t>工程师</w:t>
            </w:r>
          </w:p>
        </w:tc>
        <w:tc>
          <w:tcPr>
            <w:tcW w:w="1985" w:type="dxa"/>
            <w:vAlign w:val="center"/>
          </w:tcPr>
          <w:p w14:paraId="77F45FBD">
            <w:pPr>
              <w:spacing w:line="300" w:lineRule="exact"/>
              <w:jc w:val="center"/>
              <w:rPr>
                <w:rFonts w:ascii="仿宋_GB2312" w:eastAsia="仿宋_GB2312"/>
                <w:sz w:val="28"/>
                <w:szCs w:val="28"/>
              </w:rPr>
            </w:pPr>
            <w:r>
              <w:rPr>
                <w:rFonts w:ascii="仿宋_GB2312" w:eastAsia="仿宋_GB2312"/>
                <w:sz w:val="28"/>
                <w:szCs w:val="28"/>
              </w:rPr>
              <w:t>中国地质调查局西安矿产资源调查中心</w:t>
            </w:r>
          </w:p>
        </w:tc>
        <w:tc>
          <w:tcPr>
            <w:tcW w:w="2409" w:type="dxa"/>
            <w:vAlign w:val="center"/>
          </w:tcPr>
          <w:p w14:paraId="7509D39D">
            <w:pPr>
              <w:rPr>
                <w:rFonts w:ascii="仿宋_GB2312" w:eastAsia="仿宋_GB2312"/>
                <w:sz w:val="28"/>
                <w:szCs w:val="28"/>
              </w:rPr>
            </w:pPr>
            <w:r>
              <w:rPr>
                <w:rFonts w:hint="eastAsia" w:ascii="仿宋_GB2312" w:eastAsia="仿宋_GB2312"/>
                <w:sz w:val="28"/>
                <w:szCs w:val="28"/>
              </w:rPr>
              <w:t>调研和资料收集</w:t>
            </w:r>
          </w:p>
        </w:tc>
      </w:tr>
    </w:tbl>
    <w:p w14:paraId="7217179E">
      <w:pPr>
        <w:spacing w:line="500" w:lineRule="exact"/>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二、标准编制原则和主要内容</w:t>
      </w:r>
    </w:p>
    <w:p w14:paraId="7AF1F497">
      <w:pPr>
        <w:ind w:firstLine="643" w:firstLineChars="200"/>
        <w:rPr>
          <w:rFonts w:ascii="仿宋_GB2312" w:eastAsia="仿宋_GB2312"/>
          <w:b/>
          <w:sz w:val="32"/>
          <w:szCs w:val="32"/>
        </w:rPr>
      </w:pPr>
      <w:r>
        <w:rPr>
          <w:rFonts w:hint="eastAsia" w:ascii="仿宋_GB2312" w:eastAsia="仿宋_GB2312"/>
          <w:b/>
          <w:sz w:val="32"/>
          <w:szCs w:val="32"/>
        </w:rPr>
        <w:t>（一）标准编制原则</w:t>
      </w:r>
    </w:p>
    <w:p w14:paraId="2F415026">
      <w:pPr>
        <w:ind w:firstLine="640" w:firstLineChars="200"/>
        <w:rPr>
          <w:rFonts w:ascii="仿宋_GB2312" w:eastAsia="仿宋_GB2312"/>
          <w:sz w:val="32"/>
          <w:szCs w:val="32"/>
        </w:rPr>
      </w:pPr>
      <w:r>
        <w:rPr>
          <w:rFonts w:hint="eastAsia" w:ascii="仿宋_GB2312" w:eastAsia="仿宋_GB2312"/>
          <w:sz w:val="32"/>
          <w:szCs w:val="32"/>
        </w:rPr>
        <w:t>1</w:t>
      </w:r>
      <w:r>
        <w:rPr>
          <w:rFonts w:ascii="仿宋_GB2312" w:eastAsia="仿宋_GB2312"/>
          <w:sz w:val="32"/>
          <w:szCs w:val="32"/>
        </w:rPr>
        <w:t>.</w:t>
      </w:r>
      <w:r>
        <w:rPr>
          <w:rFonts w:hint="eastAsia" w:ascii="仿宋_GB2312" w:eastAsia="仿宋_GB2312"/>
          <w:sz w:val="32"/>
          <w:szCs w:val="32"/>
        </w:rPr>
        <w:t>依法依规</w:t>
      </w:r>
    </w:p>
    <w:p w14:paraId="77AC8F0D">
      <w:pPr>
        <w:ind w:firstLine="640" w:firstLineChars="200"/>
        <w:rPr>
          <w:rFonts w:ascii="仿宋_GB2312" w:eastAsia="仿宋_GB2312"/>
          <w:sz w:val="32"/>
          <w:szCs w:val="32"/>
        </w:rPr>
      </w:pPr>
      <w:r>
        <w:rPr>
          <w:rFonts w:hint="eastAsia" w:ascii="仿宋_GB2312" w:eastAsia="仿宋_GB2312"/>
          <w:sz w:val="32"/>
          <w:szCs w:val="32"/>
        </w:rPr>
        <w:t>本规范的编制</w:t>
      </w:r>
      <w:r>
        <w:rPr>
          <w:rFonts w:ascii="仿宋_GB2312" w:eastAsia="仿宋_GB2312"/>
          <w:sz w:val="32"/>
          <w:szCs w:val="32"/>
        </w:rPr>
        <w:t>遵守国家</w:t>
      </w:r>
      <w:r>
        <w:rPr>
          <w:rFonts w:hint="eastAsia" w:ascii="仿宋_GB2312" w:eastAsia="仿宋_GB2312"/>
          <w:sz w:val="32"/>
          <w:szCs w:val="32"/>
        </w:rPr>
        <w:t>、自然资源部和陕西省有关绿色勘查的法律、法规、标准和方针政策等规定,</w:t>
      </w:r>
      <w:r>
        <w:rPr>
          <w:rFonts w:ascii="仿宋_GB2312" w:eastAsia="仿宋_GB2312"/>
          <w:sz w:val="32"/>
          <w:szCs w:val="32"/>
        </w:rPr>
        <w:t>严格</w:t>
      </w:r>
      <w:r>
        <w:rPr>
          <w:rFonts w:hint="eastAsia" w:ascii="仿宋_GB2312" w:eastAsia="仿宋_GB2312"/>
          <w:sz w:val="32"/>
          <w:szCs w:val="32"/>
        </w:rPr>
        <w:t>按照</w:t>
      </w:r>
      <w:r>
        <w:rPr>
          <w:rFonts w:ascii="仿宋_GB2312" w:eastAsia="仿宋_GB2312"/>
          <w:sz w:val="32"/>
          <w:szCs w:val="32"/>
        </w:rPr>
        <w:t>GB/T 1.1-2020《标准化工作导则第1部分： 标准化文件的结构和起草规则》</w:t>
      </w:r>
      <w:r>
        <w:rPr>
          <w:rFonts w:hint="eastAsia" w:ascii="仿宋_GB2312" w:eastAsia="仿宋_GB2312"/>
          <w:sz w:val="32"/>
          <w:szCs w:val="32"/>
        </w:rPr>
        <w:t>和</w:t>
      </w:r>
      <w:r>
        <w:rPr>
          <w:rFonts w:ascii="仿宋_GB2312" w:eastAsia="仿宋_GB2312"/>
          <w:sz w:val="32"/>
          <w:szCs w:val="32"/>
        </w:rPr>
        <w:t>DB61/T 1214-2020</w:t>
      </w:r>
      <w:r>
        <w:rPr>
          <w:rFonts w:hint="eastAsia" w:ascii="仿宋_GB2312" w:eastAsia="仿宋_GB2312"/>
          <w:sz w:val="32"/>
          <w:szCs w:val="32"/>
        </w:rPr>
        <w:t>《</w:t>
      </w:r>
      <w:r>
        <w:rPr>
          <w:rFonts w:ascii="仿宋_GB2312" w:eastAsia="仿宋_GB2312"/>
          <w:sz w:val="32"/>
          <w:szCs w:val="32"/>
        </w:rPr>
        <w:t>陕西省地方标准制定规范</w:t>
      </w:r>
      <w:r>
        <w:rPr>
          <w:rFonts w:hint="eastAsia" w:ascii="仿宋_GB2312" w:eastAsia="仿宋_GB2312"/>
          <w:sz w:val="32"/>
          <w:szCs w:val="32"/>
        </w:rPr>
        <w:t>》</w:t>
      </w:r>
      <w:r>
        <w:rPr>
          <w:rFonts w:ascii="仿宋_GB2312" w:eastAsia="仿宋_GB2312"/>
          <w:sz w:val="32"/>
          <w:szCs w:val="32"/>
        </w:rPr>
        <w:t>的规定</w:t>
      </w:r>
      <w:r>
        <w:rPr>
          <w:rFonts w:hint="eastAsia" w:ascii="仿宋_GB2312" w:eastAsia="仿宋_GB2312"/>
          <w:sz w:val="32"/>
          <w:szCs w:val="32"/>
        </w:rPr>
        <w:t>编写。</w:t>
      </w:r>
      <w:r>
        <w:rPr>
          <w:rFonts w:ascii="仿宋_GB2312" w:eastAsia="仿宋_GB2312"/>
          <w:sz w:val="32"/>
          <w:szCs w:val="32"/>
        </w:rPr>
        <w:t>本标准为新制定，与现行相关的法律、法规</w:t>
      </w:r>
      <w:r>
        <w:rPr>
          <w:rFonts w:hint="eastAsia" w:ascii="仿宋_GB2312" w:eastAsia="仿宋_GB2312"/>
          <w:sz w:val="32"/>
          <w:szCs w:val="32"/>
        </w:rPr>
        <w:t>、</w:t>
      </w:r>
      <w:r>
        <w:rPr>
          <w:rFonts w:ascii="仿宋_GB2312" w:eastAsia="仿宋_GB2312"/>
          <w:sz w:val="32"/>
          <w:szCs w:val="32"/>
        </w:rPr>
        <w:t>标准相协调、无冲突。</w:t>
      </w:r>
      <w:r>
        <w:rPr>
          <w:rFonts w:hint="eastAsia" w:ascii="仿宋_GB2312" w:eastAsia="仿宋_GB2312"/>
          <w:sz w:val="32"/>
          <w:szCs w:val="32"/>
        </w:rPr>
        <w:t>工作组充分研究了国务院、自然资源部、陕西省人民政府以及陕西省自然资源厅下发有关绿色勘查的决定、规划、通知、指导意见以及实施意见等多项政策，规范</w:t>
      </w:r>
      <w:r>
        <w:rPr>
          <w:rFonts w:ascii="仿宋_GB2312" w:eastAsia="仿宋_GB2312"/>
          <w:sz w:val="32"/>
          <w:szCs w:val="32"/>
        </w:rPr>
        <w:t>编制过程</w:t>
      </w:r>
      <w:r>
        <w:rPr>
          <w:rFonts w:hint="eastAsia" w:ascii="仿宋_GB2312" w:eastAsia="仿宋_GB2312"/>
          <w:sz w:val="32"/>
          <w:szCs w:val="32"/>
        </w:rPr>
        <w:t>中</w:t>
      </w:r>
      <w:r>
        <w:rPr>
          <w:rFonts w:ascii="仿宋_GB2312" w:eastAsia="仿宋_GB2312"/>
          <w:sz w:val="32"/>
          <w:szCs w:val="32"/>
        </w:rPr>
        <w:t>参考了</w:t>
      </w:r>
      <w:r>
        <w:rPr>
          <w:rFonts w:hint="eastAsia" w:ascii="仿宋_GB2312" w:eastAsia="仿宋_GB2312"/>
          <w:sz w:val="32"/>
          <w:szCs w:val="32"/>
        </w:rPr>
        <w:t>《</w:t>
      </w:r>
      <w:r>
        <w:rPr>
          <w:rFonts w:ascii="仿宋_GB2312" w:eastAsia="仿宋_GB2312"/>
          <w:sz w:val="32"/>
          <w:szCs w:val="32"/>
        </w:rPr>
        <w:t>绿色地质勘查工作规范</w:t>
      </w:r>
      <w:r>
        <w:rPr>
          <w:rFonts w:hint="eastAsia" w:ascii="仿宋_GB2312" w:eastAsia="仿宋_GB2312"/>
          <w:sz w:val="32"/>
          <w:szCs w:val="32"/>
        </w:rPr>
        <w:t>》、《</w:t>
      </w:r>
      <w:r>
        <w:rPr>
          <w:rFonts w:ascii="仿宋_GB2312" w:eastAsia="仿宋_GB2312"/>
          <w:sz w:val="32"/>
          <w:szCs w:val="32"/>
        </w:rPr>
        <w:t>绿色勘查指南</w:t>
      </w:r>
      <w:r>
        <w:rPr>
          <w:rFonts w:hint="eastAsia" w:ascii="仿宋_GB2312" w:eastAsia="仿宋_GB2312"/>
          <w:sz w:val="32"/>
          <w:szCs w:val="32"/>
        </w:rPr>
        <w:t>》、《</w:t>
      </w:r>
      <w:r>
        <w:rPr>
          <w:rFonts w:ascii="仿宋_GB2312" w:eastAsia="仿宋_GB2312"/>
          <w:sz w:val="32"/>
          <w:szCs w:val="32"/>
        </w:rPr>
        <w:t>黄金地质绿色勘查技术规范</w:t>
      </w:r>
      <w:r>
        <w:rPr>
          <w:rFonts w:hint="eastAsia" w:ascii="仿宋_GB2312" w:eastAsia="仿宋_GB2312"/>
          <w:sz w:val="32"/>
          <w:szCs w:val="32"/>
        </w:rPr>
        <w:t>》以及《</w:t>
      </w:r>
      <w:r>
        <w:rPr>
          <w:rFonts w:ascii="仿宋_GB2312" w:eastAsia="仿宋_GB2312"/>
          <w:sz w:val="32"/>
          <w:szCs w:val="32"/>
        </w:rPr>
        <w:t>绿色勘探技术规程</w:t>
      </w:r>
      <w:r>
        <w:rPr>
          <w:rFonts w:hint="eastAsia" w:ascii="仿宋_GB2312" w:eastAsia="仿宋_GB2312"/>
          <w:sz w:val="32"/>
          <w:szCs w:val="32"/>
        </w:rPr>
        <w:t>》等行业和团体标准，并借鉴了贵州、宁夏、青海、河南、山东、黑龙江、湖南、安徽、内蒙以及辽宁等</w:t>
      </w:r>
      <w:r>
        <w:rPr>
          <w:rFonts w:ascii="仿宋_GB2312" w:eastAsia="仿宋_GB2312"/>
          <w:sz w:val="32"/>
          <w:szCs w:val="32"/>
        </w:rPr>
        <w:t>10个省（自治区）共13个绿色</w:t>
      </w:r>
      <w:r>
        <w:rPr>
          <w:rFonts w:hint="eastAsia" w:ascii="仿宋_GB2312" w:eastAsia="仿宋_GB2312"/>
          <w:sz w:val="32"/>
          <w:szCs w:val="32"/>
        </w:rPr>
        <w:t>勘查</w:t>
      </w:r>
      <w:r>
        <w:rPr>
          <w:rFonts w:ascii="仿宋_GB2312" w:eastAsia="仿宋_GB2312"/>
          <w:sz w:val="32"/>
          <w:szCs w:val="32"/>
        </w:rPr>
        <w:t>地方标准</w:t>
      </w:r>
      <w:r>
        <w:rPr>
          <w:rFonts w:hint="eastAsia" w:ascii="仿宋_GB2312" w:eastAsia="仿宋_GB2312"/>
          <w:sz w:val="32"/>
          <w:szCs w:val="32"/>
        </w:rPr>
        <w:t>。在相类似的条款要求上保持了一致，并保持了同一概念，使用同一术语，并处理好本规范与行业标准、团体标准之间的关系，防止出现矛盾，力求</w:t>
      </w:r>
      <w:r>
        <w:rPr>
          <w:rFonts w:ascii="仿宋_GB2312" w:eastAsia="仿宋_GB2312"/>
          <w:sz w:val="32"/>
          <w:szCs w:val="32"/>
        </w:rPr>
        <w:t>与</w:t>
      </w:r>
      <w:r>
        <w:rPr>
          <w:rFonts w:hint="eastAsia" w:ascii="仿宋_GB2312" w:eastAsia="仿宋_GB2312"/>
          <w:sz w:val="32"/>
          <w:szCs w:val="32"/>
        </w:rPr>
        <w:t>国内</w:t>
      </w:r>
      <w:r>
        <w:rPr>
          <w:rFonts w:ascii="仿宋_GB2312" w:eastAsia="仿宋_GB2312"/>
          <w:sz w:val="32"/>
          <w:szCs w:val="32"/>
        </w:rPr>
        <w:t>现行</w:t>
      </w:r>
      <w:r>
        <w:rPr>
          <w:rFonts w:hint="eastAsia" w:ascii="仿宋_GB2312" w:eastAsia="仿宋_GB2312"/>
          <w:sz w:val="32"/>
          <w:szCs w:val="32"/>
        </w:rPr>
        <w:t>的绿色勘查</w:t>
      </w:r>
      <w:r>
        <w:rPr>
          <w:rFonts w:ascii="仿宋_GB2312" w:eastAsia="仿宋_GB2312"/>
          <w:sz w:val="32"/>
          <w:szCs w:val="32"/>
        </w:rPr>
        <w:t>相关标准</w:t>
      </w:r>
      <w:r>
        <w:rPr>
          <w:rFonts w:hint="eastAsia" w:ascii="仿宋_GB2312" w:eastAsia="仿宋_GB2312"/>
          <w:sz w:val="32"/>
          <w:szCs w:val="32"/>
        </w:rPr>
        <w:t>、政策能够</w:t>
      </w:r>
      <w:r>
        <w:rPr>
          <w:rFonts w:ascii="仿宋_GB2312" w:eastAsia="仿宋_GB2312"/>
          <w:sz w:val="32"/>
          <w:szCs w:val="32"/>
        </w:rPr>
        <w:t>衔接和协调</w:t>
      </w:r>
      <w:r>
        <w:rPr>
          <w:rFonts w:hint="eastAsia" w:ascii="仿宋_GB2312" w:eastAsia="仿宋_GB2312"/>
          <w:sz w:val="32"/>
          <w:szCs w:val="32"/>
        </w:rPr>
        <w:t>。</w:t>
      </w:r>
      <w:r>
        <w:rPr>
          <w:rFonts w:ascii="仿宋_GB2312" w:eastAsia="仿宋_GB2312"/>
          <w:sz w:val="32"/>
          <w:szCs w:val="32"/>
        </w:rPr>
        <w:t xml:space="preserve"> </w:t>
      </w:r>
    </w:p>
    <w:p w14:paraId="31F8F057">
      <w:pPr>
        <w:ind w:firstLine="640" w:firstLineChars="200"/>
        <w:rPr>
          <w:rFonts w:ascii="仿宋_GB2312" w:eastAsia="仿宋_GB2312"/>
          <w:sz w:val="32"/>
          <w:szCs w:val="32"/>
        </w:rPr>
      </w:pPr>
      <w:r>
        <w:rPr>
          <w:rFonts w:ascii="仿宋_GB2312" w:eastAsia="仿宋_GB2312"/>
          <w:sz w:val="32"/>
          <w:szCs w:val="32"/>
        </w:rPr>
        <w:t>2.</w:t>
      </w:r>
      <w:r>
        <w:rPr>
          <w:rFonts w:hint="eastAsia" w:ascii="仿宋_GB2312" w:eastAsia="仿宋_GB2312"/>
          <w:sz w:val="32"/>
          <w:szCs w:val="32"/>
        </w:rPr>
        <w:t>科学适用</w:t>
      </w:r>
    </w:p>
    <w:p w14:paraId="362914F2">
      <w:pPr>
        <w:ind w:firstLine="640" w:firstLineChars="200"/>
        <w:rPr>
          <w:rFonts w:ascii="仿宋_GB2312" w:eastAsia="仿宋_GB2312"/>
          <w:sz w:val="32"/>
          <w:szCs w:val="32"/>
        </w:rPr>
      </w:pPr>
      <w:r>
        <w:rPr>
          <w:rFonts w:hint="eastAsia" w:ascii="仿宋_GB2312" w:eastAsia="仿宋_GB2312"/>
          <w:sz w:val="32"/>
          <w:szCs w:val="32"/>
        </w:rPr>
        <w:t>自然资源部和国家林草局联合印发《关于在新一轮找矿突破战略行动中全面实施绿色勘查的通知》（自然资发</w:t>
      </w:r>
      <w:r>
        <w:rPr>
          <w:rFonts w:ascii="仿宋_GB2312" w:hAnsi="Adobe 黑体 Std R" w:eastAsia="仿宋_GB2312"/>
          <w:sz w:val="32"/>
          <w:szCs w:val="32"/>
        </w:rPr>
        <w:t>〔2024〕</w:t>
      </w:r>
      <w:r>
        <w:rPr>
          <w:rFonts w:hint="eastAsia" w:ascii="仿宋_GB2312" w:hAnsi="Adobe 黑体 Std R" w:eastAsia="仿宋_GB2312"/>
          <w:sz w:val="32"/>
          <w:szCs w:val="32"/>
        </w:rPr>
        <w:t>122</w:t>
      </w:r>
      <w:r>
        <w:rPr>
          <w:rFonts w:ascii="仿宋_GB2312" w:hAnsi="Adobe 黑体 Std R" w:eastAsia="仿宋_GB2312"/>
          <w:sz w:val="32"/>
          <w:szCs w:val="32"/>
        </w:rPr>
        <w:t>号</w:t>
      </w:r>
      <w:r>
        <w:rPr>
          <w:rFonts w:hint="eastAsia" w:ascii="仿宋_GB2312" w:eastAsia="仿宋_GB2312"/>
          <w:sz w:val="32"/>
          <w:szCs w:val="32"/>
        </w:rPr>
        <w:t>）要求“各地要加快落实《绿色地质勘查工作规范》，细化形成符合本地实际的绿色勘查地方标准，为地勘单位和矿山企业实施绿色勘查提供明确依据。”</w:t>
      </w:r>
      <w:r>
        <w:rPr>
          <w:rFonts w:ascii="仿宋_GB2312" w:eastAsia="仿宋_GB2312"/>
          <w:sz w:val="32"/>
          <w:szCs w:val="32"/>
        </w:rPr>
        <w:t>本规范的整个起草过程严格按照</w:t>
      </w:r>
      <w:r>
        <w:rPr>
          <w:rFonts w:hint="eastAsia" w:ascii="仿宋_GB2312" w:eastAsia="仿宋_GB2312"/>
          <w:sz w:val="32"/>
          <w:szCs w:val="32"/>
        </w:rPr>
        <w:t>自然资源厅下发的</w:t>
      </w:r>
      <w:r>
        <w:rPr>
          <w:rFonts w:ascii="仿宋_GB2312" w:eastAsia="仿宋_GB2312"/>
          <w:sz w:val="32"/>
          <w:szCs w:val="32"/>
        </w:rPr>
        <w:t>编制计划</w:t>
      </w:r>
      <w:r>
        <w:rPr>
          <w:rFonts w:hint="eastAsia" w:ascii="仿宋_GB2312" w:eastAsia="仿宋_GB2312"/>
          <w:sz w:val="32"/>
          <w:szCs w:val="32"/>
        </w:rPr>
        <w:t>指南</w:t>
      </w:r>
      <w:r>
        <w:rPr>
          <w:rFonts w:ascii="仿宋_GB2312" w:eastAsia="仿宋_GB2312"/>
          <w:sz w:val="32"/>
          <w:szCs w:val="32"/>
        </w:rPr>
        <w:t xml:space="preserve">实施，并遵循 </w:t>
      </w:r>
      <w:r>
        <w:rPr>
          <w:rFonts w:hint="eastAsia" w:ascii="仿宋_GB2312" w:eastAsia="仿宋_GB2312"/>
          <w:sz w:val="32"/>
          <w:szCs w:val="32"/>
        </w:rPr>
        <w:t>“</w:t>
      </w:r>
      <w:r>
        <w:rPr>
          <w:rFonts w:ascii="仿宋_GB2312" w:eastAsia="仿宋_GB2312"/>
          <w:sz w:val="32"/>
          <w:szCs w:val="32"/>
        </w:rPr>
        <w:t>科学性、合理性、先进性、</w:t>
      </w:r>
      <w:r>
        <w:rPr>
          <w:rFonts w:hint="eastAsia" w:ascii="仿宋_GB2312" w:eastAsia="仿宋_GB2312"/>
          <w:sz w:val="32"/>
          <w:szCs w:val="32"/>
        </w:rPr>
        <w:t>适用</w:t>
      </w:r>
      <w:r>
        <w:rPr>
          <w:rFonts w:ascii="仿宋_GB2312" w:eastAsia="仿宋_GB2312"/>
          <w:sz w:val="32"/>
          <w:szCs w:val="32"/>
        </w:rPr>
        <w:t>性</w:t>
      </w:r>
      <w:r>
        <w:rPr>
          <w:rFonts w:hint="eastAsia" w:ascii="仿宋_GB2312" w:eastAsia="仿宋_GB2312"/>
          <w:sz w:val="32"/>
          <w:szCs w:val="32"/>
        </w:rPr>
        <w:t>”</w:t>
      </w:r>
      <w:r>
        <w:rPr>
          <w:rFonts w:ascii="仿宋_GB2312" w:eastAsia="仿宋_GB2312"/>
          <w:sz w:val="32"/>
          <w:szCs w:val="32"/>
        </w:rPr>
        <w:t>原则，从</w:t>
      </w:r>
      <w:r>
        <w:rPr>
          <w:rFonts w:hint="eastAsia" w:ascii="仿宋_GB2312" w:eastAsia="仿宋_GB2312"/>
          <w:sz w:val="32"/>
          <w:szCs w:val="32"/>
        </w:rPr>
        <w:t>标准的</w:t>
      </w:r>
      <w:r>
        <w:rPr>
          <w:rFonts w:ascii="仿宋_GB2312" w:eastAsia="仿宋_GB2312"/>
          <w:sz w:val="32"/>
          <w:szCs w:val="32"/>
        </w:rPr>
        <w:t>全面性、简便性、可操作性等方面进行了综合考虑，确保规范发布实施后</w:t>
      </w:r>
      <w:r>
        <w:rPr>
          <w:rFonts w:hint="eastAsia" w:ascii="仿宋_GB2312" w:eastAsia="仿宋_GB2312"/>
          <w:sz w:val="32"/>
          <w:szCs w:val="32"/>
        </w:rPr>
        <w:t>能</w:t>
      </w:r>
      <w:r>
        <w:rPr>
          <w:rFonts w:ascii="仿宋_GB2312" w:eastAsia="仿宋_GB2312"/>
          <w:sz w:val="32"/>
          <w:szCs w:val="32"/>
        </w:rPr>
        <w:t>得到有效应用。</w:t>
      </w:r>
      <w:r>
        <w:rPr>
          <w:rFonts w:hint="eastAsia" w:ascii="仿宋_GB2312" w:eastAsia="仿宋_GB2312"/>
          <w:sz w:val="32"/>
          <w:szCs w:val="32"/>
        </w:rPr>
        <w:t>工作组基于陕西省的地形地貌特点，在符合陕西省相关政策要求的基础上起草编制本规范</w:t>
      </w:r>
      <w:r>
        <w:rPr>
          <w:rFonts w:ascii="仿宋_GB2312" w:eastAsia="仿宋_GB2312"/>
          <w:sz w:val="32"/>
          <w:szCs w:val="32"/>
        </w:rPr>
        <w:t>，</w:t>
      </w:r>
      <w:r>
        <w:rPr>
          <w:rFonts w:hint="eastAsia" w:ascii="仿宋_GB2312" w:eastAsia="仿宋_GB2312"/>
          <w:sz w:val="32"/>
          <w:szCs w:val="32"/>
        </w:rPr>
        <w:t>既考虑陕西省的实际又兼顾了经济性和</w:t>
      </w:r>
      <w:r>
        <w:rPr>
          <w:rFonts w:ascii="仿宋_GB2312" w:eastAsia="仿宋_GB2312"/>
          <w:sz w:val="32"/>
          <w:szCs w:val="32"/>
        </w:rPr>
        <w:t>社会效益。</w:t>
      </w:r>
      <w:r>
        <w:rPr>
          <w:rFonts w:hint="eastAsia" w:ascii="仿宋_GB2312" w:eastAsia="仿宋_GB2312"/>
          <w:sz w:val="32"/>
          <w:szCs w:val="32"/>
        </w:rPr>
        <w:t>针对钻探工程的特点，确定规范中的施工准备、临时工程建设、钻探施工过程、环境恢复与治理、验收与资料汇交等不同阶段的工作技术要求。规范中涉及的技术指标主要是结合我们项目</w:t>
      </w:r>
      <w:r>
        <w:rPr>
          <w:rFonts w:ascii="仿宋_GB2312" w:eastAsia="仿宋_GB2312"/>
          <w:sz w:val="32"/>
          <w:szCs w:val="32"/>
        </w:rPr>
        <w:t>的工程实践成果，</w:t>
      </w:r>
      <w:r>
        <w:rPr>
          <w:rFonts w:hint="eastAsia" w:ascii="仿宋_GB2312" w:eastAsia="仿宋_GB2312"/>
          <w:sz w:val="32"/>
          <w:szCs w:val="32"/>
        </w:rPr>
        <w:t>同时参考、</w:t>
      </w:r>
      <w:r>
        <w:rPr>
          <w:rFonts w:ascii="仿宋_GB2312" w:eastAsia="仿宋_GB2312"/>
          <w:sz w:val="32"/>
          <w:szCs w:val="32"/>
        </w:rPr>
        <w:t>借鉴了国家标准、行业</w:t>
      </w:r>
      <w:r>
        <w:rPr>
          <w:rFonts w:hint="eastAsia" w:ascii="仿宋_GB2312" w:eastAsia="仿宋_GB2312"/>
          <w:sz w:val="32"/>
          <w:szCs w:val="32"/>
        </w:rPr>
        <w:t>标准和国内同行及</w:t>
      </w:r>
      <w:r>
        <w:rPr>
          <w:rFonts w:ascii="仿宋_GB2312" w:eastAsia="仿宋_GB2312"/>
          <w:sz w:val="32"/>
          <w:szCs w:val="32"/>
        </w:rPr>
        <w:t>研究机</w:t>
      </w:r>
      <w:r>
        <w:rPr>
          <w:rFonts w:hint="eastAsia" w:ascii="仿宋_GB2312" w:eastAsia="仿宋_GB2312"/>
          <w:sz w:val="32"/>
          <w:szCs w:val="32"/>
        </w:rPr>
        <w:t>构的最新成果，</w:t>
      </w:r>
      <w:r>
        <w:rPr>
          <w:rFonts w:ascii="仿宋_GB2312" w:eastAsia="仿宋_GB2312"/>
          <w:sz w:val="32"/>
          <w:szCs w:val="32"/>
        </w:rPr>
        <w:t>以及国内钻探装备制造企业的产品技术数据。</w:t>
      </w:r>
      <w:r>
        <w:rPr>
          <w:rFonts w:hint="eastAsia" w:ascii="仿宋_GB2312" w:eastAsia="仿宋_GB2312"/>
          <w:sz w:val="32"/>
          <w:szCs w:val="32"/>
        </w:rPr>
        <w:t>本规范的制定与现场生产实践相结合，充分体现出其科学性与适用性，同时考虑到现阶段国内绿色勘查技术的实际情况与发展水平，保证了先进性。</w:t>
      </w:r>
      <w:r>
        <w:rPr>
          <w:rFonts w:ascii="仿宋_GB2312" w:eastAsia="仿宋_GB2312"/>
          <w:sz w:val="32"/>
          <w:szCs w:val="32"/>
        </w:rPr>
        <w:t>规范</w:t>
      </w:r>
      <w:r>
        <w:rPr>
          <w:rFonts w:hint="eastAsia" w:ascii="仿宋_GB2312" w:eastAsia="仿宋_GB2312"/>
          <w:sz w:val="32"/>
          <w:szCs w:val="32"/>
        </w:rPr>
        <w:t>以目的明确、科学合理、有效实施为出发点，将利于促进我省地质探矿工作规高质量发展。</w:t>
      </w:r>
    </w:p>
    <w:p w14:paraId="61154B7F">
      <w:pPr>
        <w:ind w:firstLine="643" w:firstLineChars="200"/>
        <w:rPr>
          <w:rFonts w:ascii="仿宋_GB2312" w:eastAsia="仿宋_GB2312"/>
          <w:b/>
          <w:sz w:val="32"/>
          <w:szCs w:val="32"/>
        </w:rPr>
      </w:pPr>
      <w:r>
        <w:rPr>
          <w:rFonts w:hint="eastAsia" w:ascii="仿宋_GB2312" w:eastAsia="仿宋_GB2312"/>
          <w:b/>
          <w:sz w:val="32"/>
          <w:szCs w:val="32"/>
        </w:rPr>
        <w:t>（二）主要内容</w:t>
      </w:r>
    </w:p>
    <w:p w14:paraId="08FE4133">
      <w:pPr>
        <w:ind w:firstLine="640" w:firstLineChars="200"/>
        <w:rPr>
          <w:rFonts w:ascii="仿宋_GB2312" w:eastAsia="仿宋_GB2312"/>
          <w:sz w:val="32"/>
          <w:szCs w:val="32"/>
        </w:rPr>
      </w:pPr>
      <w:bookmarkStart w:id="10" w:name="OLE_LINK12"/>
      <w:r>
        <w:rPr>
          <w:rFonts w:ascii="仿宋_GB2312" w:eastAsia="仿宋_GB2312"/>
          <w:sz w:val="32"/>
          <w:szCs w:val="32"/>
        </w:rPr>
        <w:t>本</w:t>
      </w:r>
      <w:r>
        <w:rPr>
          <w:rFonts w:hint="eastAsia" w:ascii="仿宋_GB2312" w:eastAsia="仿宋_GB2312"/>
          <w:sz w:val="32"/>
          <w:szCs w:val="32"/>
        </w:rPr>
        <w:t>《规范》适用</w:t>
      </w:r>
      <w:r>
        <w:rPr>
          <w:rFonts w:ascii="仿宋_GB2312" w:eastAsia="仿宋_GB2312"/>
          <w:sz w:val="32"/>
          <w:szCs w:val="32"/>
        </w:rPr>
        <w:t>于陕西省境内</w:t>
      </w:r>
      <w:r>
        <w:rPr>
          <w:rFonts w:hint="eastAsia" w:ascii="仿宋_GB2312" w:eastAsia="仿宋_GB2312"/>
          <w:sz w:val="32"/>
          <w:szCs w:val="32"/>
        </w:rPr>
        <w:t>固体矿产绿色勘查地质钻探</w:t>
      </w:r>
      <w:r>
        <w:rPr>
          <w:rFonts w:ascii="仿宋_GB2312" w:eastAsia="仿宋_GB2312"/>
          <w:sz w:val="32"/>
          <w:szCs w:val="32"/>
        </w:rPr>
        <w:t>工作</w:t>
      </w:r>
      <w:r>
        <w:rPr>
          <w:rFonts w:hint="eastAsia" w:ascii="仿宋_GB2312" w:eastAsia="仿宋_GB2312"/>
          <w:sz w:val="32"/>
          <w:szCs w:val="32"/>
        </w:rPr>
        <w:t>，由正文1</w:t>
      </w:r>
      <w:r>
        <w:rPr>
          <w:rFonts w:ascii="仿宋_GB2312" w:eastAsia="仿宋_GB2312"/>
          <w:sz w:val="32"/>
          <w:szCs w:val="32"/>
        </w:rPr>
        <w:t>1</w:t>
      </w:r>
      <w:r>
        <w:rPr>
          <w:rFonts w:hint="eastAsia" w:ascii="仿宋_GB2312" w:eastAsia="仿宋_GB2312"/>
          <w:sz w:val="32"/>
          <w:szCs w:val="32"/>
        </w:rPr>
        <w:t>章节、3个附录和参考文献组成。各章节主要内容如下：</w:t>
      </w:r>
    </w:p>
    <w:p w14:paraId="1D17F0E2">
      <w:pPr>
        <w:ind w:firstLine="640" w:firstLineChars="200"/>
        <w:rPr>
          <w:rFonts w:ascii="仿宋_GB2312" w:eastAsia="仿宋_GB2312"/>
          <w:sz w:val="32"/>
          <w:szCs w:val="32"/>
        </w:rPr>
      </w:pPr>
      <w:r>
        <w:rPr>
          <w:rFonts w:hint="eastAsia" w:ascii="仿宋_GB2312" w:eastAsia="仿宋_GB2312"/>
          <w:sz w:val="32"/>
          <w:szCs w:val="32"/>
        </w:rPr>
        <w:t>1.范围</w:t>
      </w:r>
    </w:p>
    <w:p w14:paraId="3A80E026">
      <w:pPr>
        <w:ind w:firstLine="640" w:firstLineChars="200"/>
        <w:rPr>
          <w:rFonts w:ascii="仿宋_GB2312" w:eastAsia="仿宋_GB2312"/>
          <w:sz w:val="32"/>
          <w:szCs w:val="32"/>
        </w:rPr>
      </w:pPr>
      <w:r>
        <w:rPr>
          <w:rFonts w:hint="eastAsia" w:ascii="仿宋_GB2312" w:eastAsia="仿宋_GB2312"/>
          <w:sz w:val="32"/>
          <w:szCs w:val="32"/>
        </w:rPr>
        <w:t>本文件</w:t>
      </w:r>
      <w:r>
        <w:rPr>
          <w:rFonts w:ascii="仿宋_GB2312" w:eastAsia="仿宋_GB2312"/>
          <w:sz w:val="32"/>
          <w:szCs w:val="32"/>
        </w:rPr>
        <w:t>规定了</w:t>
      </w:r>
      <w:r>
        <w:rPr>
          <w:rFonts w:hint="eastAsia" w:ascii="仿宋_GB2312" w:eastAsia="仿宋_GB2312"/>
          <w:sz w:val="32"/>
          <w:szCs w:val="32"/>
        </w:rPr>
        <w:t>固体矿产</w:t>
      </w:r>
      <w:r>
        <w:rPr>
          <w:rFonts w:ascii="仿宋_GB2312" w:eastAsia="仿宋_GB2312"/>
          <w:sz w:val="32"/>
          <w:szCs w:val="32"/>
        </w:rPr>
        <w:t>绿色勘查地质钻探的总则、施工</w:t>
      </w:r>
      <w:r>
        <w:rPr>
          <w:rFonts w:hint="eastAsia" w:ascii="仿宋_GB2312" w:eastAsia="仿宋_GB2312"/>
          <w:sz w:val="32"/>
          <w:szCs w:val="32"/>
        </w:rPr>
        <w:t>准备</w:t>
      </w:r>
      <w:r>
        <w:rPr>
          <w:rFonts w:ascii="仿宋_GB2312" w:eastAsia="仿宋_GB2312"/>
          <w:sz w:val="32"/>
          <w:szCs w:val="32"/>
        </w:rPr>
        <w:t>、</w:t>
      </w:r>
      <w:r>
        <w:rPr>
          <w:rFonts w:hint="eastAsia" w:ascii="仿宋_GB2312" w:eastAsia="仿宋_GB2312"/>
          <w:sz w:val="32"/>
          <w:szCs w:val="32"/>
        </w:rPr>
        <w:t>临时工程建设</w:t>
      </w:r>
      <w:r>
        <w:rPr>
          <w:rFonts w:ascii="仿宋_GB2312" w:eastAsia="仿宋_GB2312"/>
          <w:sz w:val="32"/>
          <w:szCs w:val="32"/>
        </w:rPr>
        <w:t>、</w:t>
      </w:r>
      <w:r>
        <w:rPr>
          <w:rFonts w:hint="eastAsia" w:ascii="仿宋_GB2312" w:eastAsia="仿宋_GB2312"/>
          <w:sz w:val="32"/>
          <w:szCs w:val="32"/>
        </w:rPr>
        <w:t>钻探施工过程</w:t>
      </w:r>
      <w:r>
        <w:rPr>
          <w:rFonts w:ascii="仿宋_GB2312" w:eastAsia="仿宋_GB2312"/>
          <w:sz w:val="32"/>
          <w:szCs w:val="32"/>
        </w:rPr>
        <w:t>、</w:t>
      </w:r>
      <w:r>
        <w:rPr>
          <w:rFonts w:hint="eastAsia" w:ascii="仿宋_GB2312" w:eastAsia="仿宋_GB2312"/>
          <w:sz w:val="32"/>
          <w:szCs w:val="32"/>
        </w:rPr>
        <w:t>管理制度</w:t>
      </w:r>
      <w:r>
        <w:rPr>
          <w:rFonts w:ascii="仿宋_GB2312" w:eastAsia="仿宋_GB2312"/>
          <w:sz w:val="32"/>
          <w:szCs w:val="32"/>
        </w:rPr>
        <w:t>、</w:t>
      </w:r>
      <w:r>
        <w:rPr>
          <w:rFonts w:hint="eastAsia" w:ascii="仿宋_GB2312" w:eastAsia="仿宋_GB2312"/>
          <w:sz w:val="32"/>
          <w:szCs w:val="32"/>
        </w:rPr>
        <w:t>环境恢复与治理</w:t>
      </w:r>
      <w:r>
        <w:rPr>
          <w:rFonts w:ascii="仿宋_GB2312" w:eastAsia="仿宋_GB2312"/>
          <w:sz w:val="32"/>
          <w:szCs w:val="32"/>
        </w:rPr>
        <w:t>、和谐钻探</w:t>
      </w:r>
      <w:r>
        <w:rPr>
          <w:rFonts w:hint="eastAsia" w:ascii="仿宋_GB2312" w:eastAsia="仿宋_GB2312"/>
          <w:sz w:val="32"/>
          <w:szCs w:val="32"/>
        </w:rPr>
        <w:t>、验收与资料汇交的内容和要求</w:t>
      </w:r>
      <w:r>
        <w:rPr>
          <w:rFonts w:ascii="仿宋_GB2312" w:eastAsia="仿宋_GB2312"/>
          <w:sz w:val="32"/>
          <w:szCs w:val="32"/>
        </w:rPr>
        <w:t>。</w:t>
      </w:r>
    </w:p>
    <w:p w14:paraId="7D23E7AB">
      <w:pPr>
        <w:ind w:firstLine="640" w:firstLineChars="200"/>
        <w:rPr>
          <w:rFonts w:ascii="仿宋_GB2312" w:eastAsia="仿宋_GB2312"/>
          <w:sz w:val="32"/>
          <w:szCs w:val="32"/>
        </w:rPr>
      </w:pPr>
      <w:r>
        <w:rPr>
          <w:rFonts w:ascii="仿宋_GB2312" w:eastAsia="仿宋_GB2312"/>
          <w:sz w:val="32"/>
          <w:szCs w:val="32"/>
        </w:rPr>
        <w:t>本</w:t>
      </w:r>
      <w:r>
        <w:rPr>
          <w:rFonts w:hint="eastAsia" w:ascii="仿宋_GB2312" w:eastAsia="仿宋_GB2312"/>
          <w:sz w:val="32"/>
          <w:szCs w:val="32"/>
        </w:rPr>
        <w:t>文件</w:t>
      </w:r>
      <w:r>
        <w:rPr>
          <w:rFonts w:ascii="仿宋_GB2312" w:eastAsia="仿宋_GB2312"/>
          <w:sz w:val="32"/>
          <w:szCs w:val="32"/>
        </w:rPr>
        <w:t>主要适用固体矿产勘查地质岩心钻探。工程勘察、水文水井、地热、</w:t>
      </w:r>
      <w:r>
        <w:rPr>
          <w:rFonts w:hint="eastAsia" w:ascii="仿宋_GB2312" w:eastAsia="仿宋_GB2312"/>
          <w:sz w:val="32"/>
          <w:szCs w:val="32"/>
        </w:rPr>
        <w:t>盐湖和</w:t>
      </w:r>
      <w:r>
        <w:rPr>
          <w:rFonts w:ascii="仿宋_GB2312" w:eastAsia="仿宋_GB2312"/>
          <w:sz w:val="32"/>
          <w:szCs w:val="32"/>
        </w:rPr>
        <w:t>油气井钻探，可参照本标准。</w:t>
      </w:r>
    </w:p>
    <w:p w14:paraId="657B9177">
      <w:pPr>
        <w:ind w:firstLine="640" w:firstLineChars="200"/>
        <w:rPr>
          <w:rFonts w:ascii="仿宋_GB2312" w:eastAsia="仿宋_GB2312"/>
          <w:sz w:val="32"/>
          <w:szCs w:val="32"/>
        </w:rPr>
      </w:pPr>
      <w:r>
        <w:rPr>
          <w:rFonts w:hint="eastAsia" w:ascii="仿宋_GB2312" w:eastAsia="仿宋_GB2312"/>
          <w:sz w:val="32"/>
          <w:szCs w:val="32"/>
        </w:rPr>
        <w:t>2</w:t>
      </w:r>
      <w:r>
        <w:rPr>
          <w:rFonts w:ascii="仿宋_GB2312" w:eastAsia="仿宋_GB2312"/>
          <w:sz w:val="32"/>
          <w:szCs w:val="32"/>
        </w:rPr>
        <w:t>.</w:t>
      </w:r>
      <w:r>
        <w:rPr>
          <w:rFonts w:hint="eastAsia" w:ascii="仿宋_GB2312" w:eastAsia="仿宋_GB2312"/>
          <w:sz w:val="32"/>
          <w:szCs w:val="32"/>
        </w:rPr>
        <w:t>规范性引用文件</w:t>
      </w:r>
    </w:p>
    <w:p w14:paraId="5088764B">
      <w:pPr>
        <w:ind w:firstLine="640" w:firstLineChars="200"/>
        <w:rPr>
          <w:rFonts w:ascii="仿宋_GB2312" w:eastAsia="仿宋_GB2312"/>
          <w:sz w:val="32"/>
          <w:szCs w:val="32"/>
        </w:rPr>
      </w:pPr>
      <w:r>
        <w:rPr>
          <w:rFonts w:hint="eastAsia" w:ascii="仿宋_GB2312" w:eastAsia="仿宋_GB2312"/>
          <w:sz w:val="32"/>
          <w:szCs w:val="32"/>
        </w:rPr>
        <w:t>本标准引用了《环境空气质量标准》等国家标准</w:t>
      </w:r>
      <w:r>
        <w:rPr>
          <w:rFonts w:ascii="仿宋_GB2312" w:eastAsia="仿宋_GB2312"/>
          <w:sz w:val="32"/>
          <w:szCs w:val="32"/>
        </w:rPr>
        <w:t>18</w:t>
      </w:r>
      <w:r>
        <w:rPr>
          <w:rFonts w:hint="eastAsia" w:ascii="仿宋_GB2312" w:eastAsia="仿宋_GB2312"/>
          <w:sz w:val="32"/>
          <w:szCs w:val="32"/>
        </w:rPr>
        <w:t>项，引用《绿色地质勘查工作规范》等行业标准8项。</w:t>
      </w:r>
    </w:p>
    <w:bookmarkEnd w:id="10"/>
    <w:p w14:paraId="1E2F02F3">
      <w:pPr>
        <w:ind w:firstLine="640" w:firstLineChars="200"/>
        <w:rPr>
          <w:rFonts w:ascii="仿宋_GB2312" w:eastAsia="仿宋_GB2312"/>
          <w:sz w:val="32"/>
          <w:szCs w:val="32"/>
        </w:rPr>
      </w:pPr>
      <w:r>
        <w:rPr>
          <w:rFonts w:hint="eastAsia" w:ascii="仿宋_GB2312" w:eastAsia="仿宋_GB2312"/>
          <w:sz w:val="32"/>
          <w:szCs w:val="32"/>
        </w:rPr>
        <w:t>3</w:t>
      </w:r>
      <w:r>
        <w:rPr>
          <w:rFonts w:ascii="仿宋_GB2312" w:eastAsia="仿宋_GB2312"/>
          <w:sz w:val="32"/>
          <w:szCs w:val="32"/>
        </w:rPr>
        <w:t>.</w:t>
      </w:r>
      <w:r>
        <w:rPr>
          <w:rFonts w:hint="eastAsia" w:ascii="仿宋_GB2312" w:eastAsia="仿宋_GB2312"/>
          <w:sz w:val="32"/>
          <w:szCs w:val="32"/>
        </w:rPr>
        <w:t>术语和定义</w:t>
      </w:r>
    </w:p>
    <w:p w14:paraId="0C90E6BE">
      <w:pPr>
        <w:ind w:firstLine="640" w:firstLineChars="200"/>
        <w:rPr>
          <w:rFonts w:ascii="仿宋_GB2312" w:eastAsia="仿宋_GB2312"/>
          <w:sz w:val="32"/>
          <w:szCs w:val="32"/>
        </w:rPr>
      </w:pPr>
      <w:r>
        <w:rPr>
          <w:rFonts w:ascii="仿宋_GB2312" w:eastAsia="仿宋_GB2312"/>
          <w:sz w:val="32"/>
          <w:szCs w:val="32"/>
        </w:rPr>
        <w:t>本标准中</w:t>
      </w:r>
      <w:r>
        <w:rPr>
          <w:rFonts w:hint="eastAsia" w:ascii="仿宋_GB2312" w:eastAsia="仿宋_GB2312"/>
          <w:sz w:val="32"/>
          <w:szCs w:val="32"/>
        </w:rPr>
        <w:t>引用了“绿色勘查”、“地质钻探”、“定向钻探”以及“场地”等专业术语，定义了“便携式钻机”、“环保冲洗液”、“一基多孔”、“一孔多支”、“生态环境恢复”以及“机场”等专业术语。</w:t>
      </w:r>
    </w:p>
    <w:p w14:paraId="2DF0BEEC">
      <w:pPr>
        <w:ind w:firstLine="640" w:firstLineChars="200"/>
        <w:rPr>
          <w:rFonts w:ascii="仿宋_GB2312" w:eastAsia="仿宋_GB2312"/>
          <w:sz w:val="32"/>
          <w:szCs w:val="32"/>
        </w:rPr>
      </w:pPr>
      <w:r>
        <w:rPr>
          <w:rFonts w:hint="eastAsia" w:ascii="仿宋_GB2312" w:eastAsia="仿宋_GB2312"/>
          <w:sz w:val="32"/>
          <w:szCs w:val="32"/>
        </w:rPr>
        <w:t>4</w:t>
      </w:r>
      <w:r>
        <w:rPr>
          <w:rFonts w:ascii="仿宋_GB2312" w:eastAsia="仿宋_GB2312"/>
          <w:sz w:val="32"/>
          <w:szCs w:val="32"/>
        </w:rPr>
        <w:t>.</w:t>
      </w:r>
      <w:r>
        <w:rPr>
          <w:rFonts w:hint="eastAsia" w:ascii="仿宋_GB2312" w:eastAsia="仿宋_GB2312"/>
          <w:sz w:val="32"/>
          <w:szCs w:val="32"/>
        </w:rPr>
        <w:t>总则</w:t>
      </w:r>
    </w:p>
    <w:p w14:paraId="07D92A8C">
      <w:pPr>
        <w:ind w:firstLine="640" w:firstLineChars="200"/>
        <w:rPr>
          <w:rFonts w:ascii="仿宋_GB2312" w:eastAsia="仿宋_GB2312"/>
          <w:sz w:val="32"/>
          <w:szCs w:val="32"/>
        </w:rPr>
      </w:pPr>
      <w:r>
        <w:rPr>
          <w:rFonts w:hint="eastAsia" w:ascii="仿宋_GB2312" w:eastAsia="仿宋_GB2312"/>
          <w:sz w:val="32"/>
          <w:szCs w:val="32"/>
        </w:rPr>
        <w:t>本标准从目的任务、基本原则、基本要求三个方面进行了规范。</w:t>
      </w:r>
    </w:p>
    <w:p w14:paraId="3141E2ED">
      <w:pPr>
        <w:ind w:firstLine="640" w:firstLineChars="200"/>
        <w:rPr>
          <w:rFonts w:ascii="仿宋_GB2312" w:eastAsia="仿宋_GB2312"/>
          <w:sz w:val="32"/>
          <w:szCs w:val="32"/>
        </w:rPr>
      </w:pPr>
      <w:r>
        <w:rPr>
          <w:rFonts w:hint="eastAsia" w:ascii="仿宋_GB2312" w:eastAsia="仿宋_GB2312"/>
          <w:sz w:val="32"/>
          <w:szCs w:val="32"/>
        </w:rPr>
        <w:t>5</w:t>
      </w:r>
      <w:r>
        <w:rPr>
          <w:rFonts w:ascii="仿宋_GB2312" w:eastAsia="仿宋_GB2312"/>
          <w:sz w:val="32"/>
          <w:szCs w:val="32"/>
        </w:rPr>
        <w:t>.</w:t>
      </w:r>
      <w:r>
        <w:rPr>
          <w:rFonts w:hint="eastAsia" w:ascii="仿宋_GB2312" w:eastAsia="仿宋_GB2312"/>
          <w:sz w:val="32"/>
          <w:szCs w:val="32"/>
        </w:rPr>
        <w:t>施工准备</w:t>
      </w:r>
    </w:p>
    <w:p w14:paraId="47AB5C10">
      <w:pPr>
        <w:ind w:firstLine="640" w:firstLineChars="200"/>
        <w:rPr>
          <w:rFonts w:ascii="仿宋_GB2312" w:eastAsia="仿宋_GB2312"/>
          <w:sz w:val="32"/>
          <w:szCs w:val="32"/>
        </w:rPr>
      </w:pPr>
      <w:r>
        <w:rPr>
          <w:rFonts w:hint="eastAsia" w:ascii="仿宋_GB2312" w:eastAsia="仿宋_GB2312"/>
          <w:sz w:val="32"/>
          <w:szCs w:val="32"/>
        </w:rPr>
        <w:t>本标准从环境调查、设备选择、工艺方法、施工方案四个方面进行了规范。</w:t>
      </w:r>
    </w:p>
    <w:p w14:paraId="13F7B3F9">
      <w:pPr>
        <w:ind w:firstLine="640" w:firstLineChars="200"/>
        <w:rPr>
          <w:rFonts w:ascii="仿宋_GB2312" w:eastAsia="仿宋_GB2312"/>
          <w:sz w:val="32"/>
          <w:szCs w:val="32"/>
        </w:rPr>
      </w:pPr>
      <w:r>
        <w:rPr>
          <w:rFonts w:hint="eastAsia" w:ascii="仿宋_GB2312" w:eastAsia="仿宋_GB2312"/>
          <w:sz w:val="32"/>
          <w:szCs w:val="32"/>
        </w:rPr>
        <w:t>6</w:t>
      </w:r>
      <w:r>
        <w:rPr>
          <w:rFonts w:ascii="仿宋_GB2312" w:eastAsia="仿宋_GB2312"/>
          <w:sz w:val="32"/>
          <w:szCs w:val="32"/>
        </w:rPr>
        <w:t>.</w:t>
      </w:r>
      <w:r>
        <w:rPr>
          <w:rFonts w:hint="eastAsia" w:ascii="仿宋_GB2312" w:eastAsia="仿宋_GB2312"/>
          <w:sz w:val="32"/>
          <w:szCs w:val="32"/>
        </w:rPr>
        <w:t>临时工程建设</w:t>
      </w:r>
    </w:p>
    <w:p w14:paraId="20C008FD">
      <w:pPr>
        <w:ind w:firstLine="640" w:firstLineChars="200"/>
        <w:rPr>
          <w:rFonts w:ascii="仿宋_GB2312" w:eastAsia="仿宋_GB2312"/>
          <w:sz w:val="32"/>
          <w:szCs w:val="32"/>
        </w:rPr>
      </w:pPr>
      <w:bookmarkStart w:id="11" w:name="OLE_LINK10"/>
      <w:bookmarkStart w:id="12" w:name="OLE_LINK9"/>
      <w:r>
        <w:rPr>
          <w:rFonts w:hint="eastAsia" w:ascii="仿宋_GB2312" w:eastAsia="仿宋_GB2312"/>
          <w:sz w:val="32"/>
          <w:szCs w:val="32"/>
        </w:rPr>
        <w:t>本标准从驻地临建、道路修筑、机场修筑三个方面进行了规范。</w:t>
      </w:r>
    </w:p>
    <w:bookmarkEnd w:id="11"/>
    <w:bookmarkEnd w:id="12"/>
    <w:p w14:paraId="022587DD">
      <w:pPr>
        <w:ind w:firstLine="640" w:firstLineChars="200"/>
        <w:rPr>
          <w:rFonts w:ascii="仿宋_GB2312" w:eastAsia="仿宋_GB2312"/>
          <w:sz w:val="32"/>
          <w:szCs w:val="32"/>
        </w:rPr>
      </w:pPr>
      <w:r>
        <w:rPr>
          <w:rFonts w:hint="eastAsia" w:ascii="仿宋_GB2312" w:eastAsia="仿宋_GB2312"/>
          <w:sz w:val="32"/>
          <w:szCs w:val="32"/>
        </w:rPr>
        <w:t>7</w:t>
      </w:r>
      <w:r>
        <w:rPr>
          <w:rFonts w:ascii="仿宋_GB2312" w:eastAsia="仿宋_GB2312"/>
          <w:sz w:val="32"/>
          <w:szCs w:val="32"/>
        </w:rPr>
        <w:t>.</w:t>
      </w:r>
      <w:r>
        <w:rPr>
          <w:rFonts w:hint="eastAsia" w:ascii="仿宋_GB2312" w:eastAsia="仿宋_GB2312"/>
          <w:sz w:val="32"/>
          <w:szCs w:val="32"/>
        </w:rPr>
        <w:t>钻探施工过程</w:t>
      </w:r>
    </w:p>
    <w:p w14:paraId="74D9D45E">
      <w:pPr>
        <w:ind w:firstLine="640" w:firstLineChars="200"/>
        <w:rPr>
          <w:rFonts w:ascii="仿宋_GB2312" w:eastAsia="仿宋_GB2312"/>
          <w:sz w:val="32"/>
          <w:szCs w:val="32"/>
        </w:rPr>
      </w:pPr>
      <w:r>
        <w:rPr>
          <w:rFonts w:hint="eastAsia" w:ascii="仿宋_GB2312" w:eastAsia="仿宋_GB2312"/>
          <w:sz w:val="32"/>
          <w:szCs w:val="32"/>
        </w:rPr>
        <w:t>本标准从驻地管控、钻探施工、冲洗液使用管理、文明施工四个方面进行了规范。</w:t>
      </w:r>
    </w:p>
    <w:p w14:paraId="63B504FF">
      <w:pPr>
        <w:ind w:firstLine="640" w:firstLineChars="200"/>
        <w:rPr>
          <w:rFonts w:ascii="仿宋_GB2312" w:eastAsia="仿宋_GB2312"/>
          <w:sz w:val="32"/>
          <w:szCs w:val="32"/>
        </w:rPr>
      </w:pPr>
      <w:r>
        <w:rPr>
          <w:rFonts w:hint="eastAsia" w:ascii="仿宋_GB2312" w:eastAsia="仿宋_GB2312"/>
          <w:sz w:val="32"/>
          <w:szCs w:val="32"/>
        </w:rPr>
        <w:t>8</w:t>
      </w:r>
      <w:r>
        <w:rPr>
          <w:rFonts w:ascii="仿宋_GB2312" w:eastAsia="仿宋_GB2312"/>
          <w:sz w:val="32"/>
          <w:szCs w:val="32"/>
        </w:rPr>
        <w:t>.</w:t>
      </w:r>
      <w:r>
        <w:rPr>
          <w:rFonts w:hint="eastAsia" w:ascii="仿宋_GB2312" w:eastAsia="仿宋_GB2312"/>
          <w:sz w:val="32"/>
          <w:szCs w:val="32"/>
        </w:rPr>
        <w:t>管理制定</w:t>
      </w:r>
    </w:p>
    <w:p w14:paraId="328D9C4E">
      <w:pPr>
        <w:ind w:firstLine="640" w:firstLineChars="200"/>
        <w:rPr>
          <w:rFonts w:ascii="仿宋_GB2312" w:eastAsia="仿宋_GB2312"/>
          <w:sz w:val="32"/>
          <w:szCs w:val="32"/>
        </w:rPr>
      </w:pPr>
      <w:r>
        <w:rPr>
          <w:rFonts w:hint="eastAsia" w:ascii="仿宋_GB2312" w:eastAsia="仿宋_GB2312"/>
          <w:sz w:val="32"/>
          <w:szCs w:val="32"/>
        </w:rPr>
        <w:t>本标准从职责分工、会议制度、检查验收三个方面进行了规范。</w:t>
      </w:r>
    </w:p>
    <w:p w14:paraId="7DB224DD">
      <w:pPr>
        <w:ind w:firstLine="640" w:firstLineChars="200"/>
        <w:rPr>
          <w:rFonts w:ascii="仿宋_GB2312" w:eastAsia="仿宋_GB2312"/>
          <w:sz w:val="32"/>
          <w:szCs w:val="32"/>
        </w:rPr>
      </w:pPr>
      <w:r>
        <w:rPr>
          <w:rFonts w:hint="eastAsia" w:ascii="仿宋_GB2312" w:eastAsia="仿宋_GB2312"/>
          <w:sz w:val="32"/>
          <w:szCs w:val="32"/>
        </w:rPr>
        <w:t>9</w:t>
      </w:r>
      <w:r>
        <w:rPr>
          <w:rFonts w:ascii="仿宋_GB2312" w:eastAsia="仿宋_GB2312"/>
          <w:sz w:val="32"/>
          <w:szCs w:val="32"/>
        </w:rPr>
        <w:t>.</w:t>
      </w:r>
      <w:r>
        <w:rPr>
          <w:rFonts w:hint="eastAsia" w:ascii="仿宋_GB2312" w:eastAsia="仿宋_GB2312"/>
          <w:sz w:val="32"/>
          <w:szCs w:val="32"/>
        </w:rPr>
        <w:t>环境恢复与治理</w:t>
      </w:r>
    </w:p>
    <w:p w14:paraId="363D2BE5">
      <w:pPr>
        <w:ind w:firstLine="640" w:firstLineChars="200"/>
        <w:rPr>
          <w:rFonts w:ascii="仿宋_GB2312" w:eastAsia="仿宋_GB2312"/>
          <w:sz w:val="32"/>
          <w:szCs w:val="32"/>
        </w:rPr>
      </w:pPr>
      <w:r>
        <w:rPr>
          <w:rFonts w:hint="eastAsia" w:ascii="仿宋_GB2312" w:eastAsia="仿宋_GB2312"/>
          <w:sz w:val="32"/>
          <w:szCs w:val="32"/>
        </w:rPr>
        <w:t>本标准从场地清理、场地复原、复垦复绿三个方面进行了规范。</w:t>
      </w:r>
    </w:p>
    <w:p w14:paraId="63C9C289">
      <w:pPr>
        <w:ind w:firstLine="640" w:firstLineChars="200"/>
        <w:rPr>
          <w:rFonts w:ascii="仿宋_GB2312" w:eastAsia="仿宋_GB2312"/>
          <w:sz w:val="32"/>
          <w:szCs w:val="32"/>
        </w:rPr>
      </w:pPr>
      <w:r>
        <w:rPr>
          <w:rFonts w:hint="eastAsia" w:ascii="仿宋_GB2312" w:eastAsia="仿宋_GB2312"/>
          <w:sz w:val="32"/>
          <w:szCs w:val="32"/>
        </w:rPr>
        <w:t>1</w:t>
      </w:r>
      <w:r>
        <w:rPr>
          <w:rFonts w:ascii="仿宋_GB2312" w:eastAsia="仿宋_GB2312"/>
          <w:sz w:val="32"/>
          <w:szCs w:val="32"/>
        </w:rPr>
        <w:t>0.</w:t>
      </w:r>
      <w:r>
        <w:rPr>
          <w:rFonts w:hint="eastAsia" w:ascii="仿宋_GB2312" w:eastAsia="仿宋_GB2312"/>
          <w:sz w:val="32"/>
          <w:szCs w:val="32"/>
        </w:rPr>
        <w:t>和谐钻探</w:t>
      </w:r>
    </w:p>
    <w:p w14:paraId="4E38F383">
      <w:pPr>
        <w:ind w:firstLine="640" w:firstLineChars="200"/>
        <w:rPr>
          <w:rFonts w:ascii="仿宋_GB2312" w:eastAsia="仿宋_GB2312"/>
          <w:sz w:val="32"/>
          <w:szCs w:val="32"/>
        </w:rPr>
      </w:pPr>
      <w:r>
        <w:rPr>
          <w:rFonts w:hint="eastAsia" w:ascii="仿宋_GB2312" w:eastAsia="仿宋_GB2312"/>
          <w:sz w:val="32"/>
          <w:szCs w:val="32"/>
        </w:rPr>
        <w:t>本标准规范了和谐钻探方面的内容。</w:t>
      </w:r>
    </w:p>
    <w:p w14:paraId="79E2B816">
      <w:pPr>
        <w:ind w:firstLine="640" w:firstLineChars="200"/>
        <w:rPr>
          <w:rFonts w:ascii="仿宋_GB2312" w:eastAsia="仿宋_GB2312"/>
          <w:sz w:val="32"/>
          <w:szCs w:val="32"/>
        </w:rPr>
      </w:pPr>
      <w:r>
        <w:rPr>
          <w:rFonts w:hint="eastAsia" w:ascii="仿宋_GB2312" w:eastAsia="仿宋_GB2312"/>
          <w:sz w:val="32"/>
          <w:szCs w:val="32"/>
        </w:rPr>
        <w:t>1</w:t>
      </w:r>
      <w:r>
        <w:rPr>
          <w:rFonts w:ascii="仿宋_GB2312" w:eastAsia="仿宋_GB2312"/>
          <w:sz w:val="32"/>
          <w:szCs w:val="32"/>
        </w:rPr>
        <w:t>1.</w:t>
      </w:r>
      <w:r>
        <w:rPr>
          <w:rFonts w:hint="eastAsia" w:ascii="仿宋_GB2312" w:eastAsia="仿宋_GB2312"/>
          <w:sz w:val="32"/>
          <w:szCs w:val="32"/>
        </w:rPr>
        <w:t>验收与资料汇交</w:t>
      </w:r>
    </w:p>
    <w:p w14:paraId="09BD197C">
      <w:pPr>
        <w:ind w:firstLine="640" w:firstLineChars="200"/>
        <w:rPr>
          <w:rFonts w:ascii="仿宋_GB2312" w:eastAsia="仿宋_GB2312"/>
          <w:sz w:val="32"/>
          <w:szCs w:val="32"/>
        </w:rPr>
      </w:pPr>
      <w:r>
        <w:rPr>
          <w:rFonts w:hint="eastAsia" w:ascii="仿宋_GB2312" w:eastAsia="仿宋_GB2312"/>
          <w:sz w:val="32"/>
          <w:szCs w:val="32"/>
        </w:rPr>
        <w:t>本标准规范了评估验收和资料汇交方面的内容。</w:t>
      </w:r>
    </w:p>
    <w:p w14:paraId="36875655">
      <w:pPr>
        <w:ind w:firstLine="640" w:firstLineChars="200"/>
        <w:rPr>
          <w:rFonts w:ascii="仿宋_GB2312" w:eastAsia="仿宋_GB2312"/>
          <w:sz w:val="32"/>
          <w:szCs w:val="32"/>
        </w:rPr>
      </w:pPr>
      <w:r>
        <w:rPr>
          <w:rFonts w:hint="eastAsia" w:ascii="仿宋_GB2312" w:eastAsia="仿宋_GB2312"/>
          <w:sz w:val="32"/>
          <w:szCs w:val="32"/>
        </w:rPr>
        <w:t>附录A</w:t>
      </w:r>
    </w:p>
    <w:p w14:paraId="0107BBC5">
      <w:pPr>
        <w:ind w:firstLine="640" w:firstLineChars="200"/>
        <w:rPr>
          <w:rFonts w:ascii="仿宋_GB2312" w:eastAsia="仿宋_GB2312"/>
          <w:sz w:val="32"/>
          <w:szCs w:val="32"/>
        </w:rPr>
      </w:pPr>
      <w:r>
        <w:rPr>
          <w:rFonts w:ascii="仿宋_GB2312" w:eastAsia="仿宋_GB2312"/>
          <w:sz w:val="32"/>
          <w:szCs w:val="32"/>
        </w:rPr>
        <w:t>本标准该部分以资料性文件方式提供了附录：</w:t>
      </w:r>
      <w:r>
        <w:rPr>
          <w:rFonts w:hint="eastAsia" w:ascii="仿宋_GB2312" w:eastAsia="仿宋_GB2312"/>
          <w:sz w:val="32"/>
          <w:szCs w:val="32"/>
        </w:rPr>
        <w:t>绿色勘查地质钻探用表</w:t>
      </w:r>
      <w:r>
        <w:rPr>
          <w:rFonts w:ascii="仿宋_GB2312" w:eastAsia="仿宋_GB2312"/>
          <w:sz w:val="32"/>
          <w:szCs w:val="32"/>
        </w:rPr>
        <w:t>。</w:t>
      </w:r>
    </w:p>
    <w:p w14:paraId="20BB3395">
      <w:pPr>
        <w:ind w:firstLine="640" w:firstLineChars="200"/>
        <w:rPr>
          <w:rFonts w:ascii="仿宋_GB2312" w:eastAsia="仿宋_GB2312"/>
          <w:sz w:val="32"/>
          <w:szCs w:val="32"/>
        </w:rPr>
      </w:pPr>
      <w:r>
        <w:rPr>
          <w:rFonts w:hint="eastAsia" w:ascii="仿宋_GB2312" w:eastAsia="仿宋_GB2312"/>
          <w:sz w:val="32"/>
          <w:szCs w:val="32"/>
        </w:rPr>
        <w:t>附录B</w:t>
      </w:r>
    </w:p>
    <w:p w14:paraId="48B6ABC1">
      <w:pPr>
        <w:ind w:firstLine="640" w:firstLineChars="200"/>
        <w:rPr>
          <w:rFonts w:ascii="仿宋_GB2312" w:eastAsia="仿宋_GB2312"/>
          <w:sz w:val="32"/>
          <w:szCs w:val="32"/>
        </w:rPr>
      </w:pPr>
      <w:r>
        <w:rPr>
          <w:rFonts w:ascii="仿宋_GB2312" w:eastAsia="仿宋_GB2312"/>
          <w:sz w:val="32"/>
          <w:szCs w:val="32"/>
        </w:rPr>
        <w:t>本标准该部分以资料性文件方式提供了附录：</w:t>
      </w:r>
      <w:r>
        <w:rPr>
          <w:rFonts w:hint="eastAsia" w:ascii="仿宋_GB2312" w:eastAsia="仿宋_GB2312"/>
          <w:sz w:val="32"/>
          <w:szCs w:val="32"/>
        </w:rPr>
        <w:t>常用地质岩心钻探技术工艺</w:t>
      </w:r>
      <w:r>
        <w:rPr>
          <w:rFonts w:ascii="仿宋_GB2312" w:eastAsia="仿宋_GB2312"/>
          <w:sz w:val="32"/>
          <w:szCs w:val="32"/>
        </w:rPr>
        <w:t>。</w:t>
      </w:r>
    </w:p>
    <w:p w14:paraId="22E7DB2D">
      <w:pPr>
        <w:ind w:firstLine="640" w:firstLineChars="200"/>
        <w:rPr>
          <w:rFonts w:ascii="仿宋_GB2312" w:eastAsia="仿宋_GB2312"/>
          <w:sz w:val="32"/>
          <w:szCs w:val="32"/>
        </w:rPr>
      </w:pPr>
      <w:r>
        <w:rPr>
          <w:rFonts w:hint="eastAsia" w:ascii="仿宋_GB2312" w:eastAsia="仿宋_GB2312"/>
          <w:sz w:val="32"/>
          <w:szCs w:val="32"/>
        </w:rPr>
        <w:t>附录C</w:t>
      </w:r>
    </w:p>
    <w:p w14:paraId="1D6BA6DA">
      <w:pPr>
        <w:ind w:firstLine="640" w:firstLineChars="200"/>
        <w:rPr>
          <w:rFonts w:ascii="仿宋_GB2312" w:eastAsia="仿宋_GB2312"/>
          <w:sz w:val="32"/>
          <w:szCs w:val="32"/>
        </w:rPr>
      </w:pPr>
      <w:r>
        <w:rPr>
          <w:rFonts w:ascii="仿宋_GB2312" w:eastAsia="仿宋_GB2312"/>
          <w:sz w:val="32"/>
          <w:szCs w:val="32"/>
        </w:rPr>
        <w:t>本标准该部分以资料性文件方式提供了附录：</w:t>
      </w:r>
      <w:r>
        <w:rPr>
          <w:rFonts w:hint="eastAsia" w:ascii="仿宋_GB2312" w:eastAsia="仿宋_GB2312"/>
          <w:sz w:val="32"/>
          <w:szCs w:val="32"/>
        </w:rPr>
        <w:t>钻探施工总结报告中</w:t>
      </w:r>
      <w:r>
        <w:rPr>
          <w:rFonts w:ascii="仿宋_GB2312" w:eastAsia="仿宋_GB2312"/>
          <w:sz w:val="32"/>
          <w:szCs w:val="32"/>
        </w:rPr>
        <w:t>绿色勘查</w:t>
      </w:r>
      <w:r>
        <w:rPr>
          <w:rFonts w:hint="eastAsia" w:ascii="仿宋_GB2312" w:eastAsia="仿宋_GB2312"/>
          <w:sz w:val="32"/>
          <w:szCs w:val="32"/>
        </w:rPr>
        <w:t>章节编写内容</w:t>
      </w:r>
      <w:r>
        <w:rPr>
          <w:rFonts w:ascii="仿宋_GB2312" w:eastAsia="仿宋_GB2312"/>
          <w:sz w:val="32"/>
          <w:szCs w:val="32"/>
        </w:rPr>
        <w:t>提纲。</w:t>
      </w:r>
    </w:p>
    <w:p w14:paraId="4761D15F">
      <w:pPr>
        <w:ind w:firstLine="640" w:firstLineChars="200"/>
        <w:rPr>
          <w:rFonts w:ascii="仿宋_GB2312" w:eastAsia="仿宋_GB2312"/>
          <w:sz w:val="32"/>
          <w:szCs w:val="32"/>
        </w:rPr>
      </w:pPr>
      <w:r>
        <w:rPr>
          <w:rFonts w:hint="eastAsia" w:ascii="仿宋_GB2312" w:eastAsia="仿宋_GB2312"/>
          <w:sz w:val="32"/>
          <w:szCs w:val="32"/>
        </w:rPr>
        <w:t>参考文献</w:t>
      </w:r>
    </w:p>
    <w:p w14:paraId="0EA9FB09">
      <w:pPr>
        <w:spacing w:line="500" w:lineRule="exact"/>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三、实证研究</w:t>
      </w:r>
    </w:p>
    <w:p w14:paraId="2A1053B9">
      <w:pPr>
        <w:ind w:firstLine="640" w:firstLineChars="200"/>
        <w:rPr>
          <w:rFonts w:ascii="仿宋_GB2312" w:eastAsia="仿宋_GB2312"/>
          <w:sz w:val="32"/>
          <w:szCs w:val="32"/>
        </w:rPr>
      </w:pPr>
      <w:r>
        <w:rPr>
          <w:rFonts w:hint="eastAsia" w:ascii="仿宋_GB2312" w:eastAsia="仿宋_GB2312"/>
          <w:sz w:val="32"/>
          <w:szCs w:val="32"/>
        </w:rPr>
        <w:t>本次标准编制的相关技术指标内容主要基于中国地质调查局西安矿产资源调查中心近些年来在绿色勘查方面的探索实践以及参与单位绿色勘查工作成效，并有针对性开展了一些试验（验证）。</w:t>
      </w:r>
      <w:r>
        <w:rPr>
          <w:rFonts w:ascii="仿宋_GB2312" w:eastAsia="仿宋_GB2312"/>
          <w:sz w:val="32"/>
          <w:szCs w:val="32"/>
        </w:rPr>
        <w:t>从定性</w:t>
      </w:r>
      <w:r>
        <w:rPr>
          <w:rFonts w:hint="eastAsia" w:ascii="仿宋_GB2312" w:eastAsia="仿宋_GB2312"/>
          <w:sz w:val="32"/>
          <w:szCs w:val="32"/>
        </w:rPr>
        <w:t>和定量两个方面进行了实践验证，</w:t>
      </w:r>
      <w:r>
        <w:rPr>
          <w:rFonts w:ascii="仿宋_GB2312" w:eastAsia="仿宋_GB2312"/>
          <w:sz w:val="32"/>
          <w:szCs w:val="32"/>
        </w:rPr>
        <w:t>在开展</w:t>
      </w:r>
      <w:r>
        <w:rPr>
          <w:rFonts w:hint="eastAsia" w:ascii="仿宋_GB2312" w:eastAsia="仿宋_GB2312"/>
          <w:sz w:val="32"/>
          <w:szCs w:val="32"/>
        </w:rPr>
        <w:t>应用研究</w:t>
      </w:r>
      <w:r>
        <w:rPr>
          <w:rFonts w:ascii="仿宋_GB2312" w:eastAsia="仿宋_GB2312"/>
          <w:sz w:val="32"/>
          <w:szCs w:val="32"/>
        </w:rPr>
        <w:t>设计时</w:t>
      </w:r>
      <w:r>
        <w:rPr>
          <w:rFonts w:hint="eastAsia" w:ascii="仿宋_GB2312" w:eastAsia="仿宋_GB2312"/>
          <w:sz w:val="32"/>
          <w:szCs w:val="32"/>
        </w:rPr>
        <w:t>，充分考虑与</w:t>
      </w:r>
      <w:r>
        <w:rPr>
          <w:rFonts w:ascii="仿宋_GB2312" w:eastAsia="仿宋_GB2312"/>
          <w:sz w:val="32"/>
          <w:szCs w:val="32"/>
        </w:rPr>
        <w:t>传统</w:t>
      </w:r>
      <w:r>
        <w:rPr>
          <w:rFonts w:hint="eastAsia" w:ascii="仿宋_GB2312" w:eastAsia="仿宋_GB2312"/>
          <w:sz w:val="32"/>
          <w:szCs w:val="32"/>
        </w:rPr>
        <w:t>作业方式</w:t>
      </w:r>
      <w:r>
        <w:rPr>
          <w:rFonts w:ascii="仿宋_GB2312" w:eastAsia="仿宋_GB2312"/>
          <w:sz w:val="32"/>
          <w:szCs w:val="32"/>
        </w:rPr>
        <w:t>的</w:t>
      </w:r>
      <w:r>
        <w:rPr>
          <w:rFonts w:hint="eastAsia" w:ascii="仿宋_GB2312" w:eastAsia="仿宋_GB2312"/>
          <w:sz w:val="32"/>
          <w:szCs w:val="32"/>
        </w:rPr>
        <w:t>效果对照，为标准的制定起到了关键支承作用</w:t>
      </w:r>
      <w:r>
        <w:rPr>
          <w:rFonts w:ascii="仿宋_GB2312" w:eastAsia="仿宋_GB2312"/>
          <w:sz w:val="32"/>
          <w:szCs w:val="32"/>
        </w:rPr>
        <w:t>。</w:t>
      </w:r>
    </w:p>
    <w:p w14:paraId="4F68B6AC">
      <w:pPr>
        <w:ind w:firstLine="640" w:firstLineChars="200"/>
        <w:rPr>
          <w:rFonts w:ascii="仿宋_GB2312" w:eastAsia="仿宋_GB2312"/>
          <w:sz w:val="32"/>
          <w:szCs w:val="32"/>
        </w:rPr>
      </w:pPr>
      <w:r>
        <w:rPr>
          <w:rFonts w:hint="eastAsia" w:ascii="仿宋_GB2312" w:eastAsia="仿宋_GB2312"/>
          <w:sz w:val="32"/>
          <w:szCs w:val="32"/>
        </w:rPr>
        <w:t>以陕西商洛地区西安矿产资源调查中心承担的“东秦岭高岭沟-五里川一带锑金矿产调查评价”项目为例，项目采用“便携式钻机＋薄壁型轻质管材＋高效薄壁碎岩钻头＋环保冲洗液”绿色钻探技术方法（见图1）。自主改善薄壁型硬岩高效钻头，钻进效率提升了近</w:t>
      </w:r>
      <w:r>
        <w:rPr>
          <w:rFonts w:ascii="仿宋_GB2312" w:eastAsia="仿宋_GB2312"/>
          <w:sz w:val="32"/>
          <w:szCs w:val="32"/>
        </w:rPr>
        <w:t>2倍，采用可降解冲洗液材料，绿色勘查工作取得了良好的环保效益。针对钻进地层岩性差异，优选与改造取心钻头，提升钻进效率，同时尽量选用可自然降解的环保型冲洗液材料，钻探废弃泥浆</w:t>
      </w:r>
      <w:r>
        <w:rPr>
          <w:rFonts w:hint="eastAsia" w:ascii="仿宋_GB2312" w:eastAsia="仿宋_GB2312"/>
          <w:sz w:val="32"/>
          <w:szCs w:val="32"/>
        </w:rPr>
        <w:t>经</w:t>
      </w:r>
      <w:r>
        <w:rPr>
          <w:rFonts w:ascii="仿宋_GB2312" w:eastAsia="仿宋_GB2312"/>
          <w:sz w:val="32"/>
          <w:szCs w:val="32"/>
        </w:rPr>
        <w:t>沉淀后</w:t>
      </w:r>
      <w:r>
        <w:rPr>
          <w:rFonts w:hint="eastAsia" w:ascii="仿宋_GB2312" w:eastAsia="仿宋_GB2312"/>
          <w:sz w:val="32"/>
          <w:szCs w:val="32"/>
        </w:rPr>
        <w:t>，岩粉</w:t>
      </w:r>
      <w:r>
        <w:rPr>
          <w:rFonts w:ascii="仿宋_GB2312" w:eastAsia="仿宋_GB2312"/>
          <w:sz w:val="32"/>
          <w:szCs w:val="32"/>
        </w:rPr>
        <w:t>集中掩埋处理，</w:t>
      </w:r>
      <w:r>
        <w:rPr>
          <w:rFonts w:hint="eastAsia" w:ascii="仿宋_GB2312" w:eastAsia="仿宋_GB2312"/>
          <w:sz w:val="32"/>
          <w:szCs w:val="32"/>
        </w:rPr>
        <w:t>清水重复利用以</w:t>
      </w:r>
      <w:r>
        <w:rPr>
          <w:rFonts w:ascii="仿宋_GB2312" w:eastAsia="仿宋_GB2312"/>
          <w:sz w:val="32"/>
          <w:szCs w:val="32"/>
        </w:rPr>
        <w:t>降低污染</w:t>
      </w:r>
      <w:r>
        <w:rPr>
          <w:rFonts w:hint="eastAsia" w:ascii="仿宋_GB2312" w:eastAsia="仿宋_GB2312"/>
          <w:sz w:val="32"/>
          <w:szCs w:val="32"/>
        </w:rPr>
        <w:t>，地形较平缓时，采用便携式泥浆池，采用堆砌蓄水池或便携式蓄水袋（囊）</w:t>
      </w:r>
      <w:r>
        <w:rPr>
          <w:rFonts w:ascii="仿宋_GB2312" w:eastAsia="仿宋_GB2312"/>
          <w:sz w:val="32"/>
          <w:szCs w:val="32"/>
        </w:rPr>
        <w:drawing>
          <wp:anchor distT="0" distB="0" distL="114300" distR="114300" simplePos="0" relativeHeight="251662336" behindDoc="0" locked="0" layoutInCell="1" allowOverlap="1">
            <wp:simplePos x="0" y="0"/>
            <wp:positionH relativeFrom="column">
              <wp:posOffset>-252730</wp:posOffset>
            </wp:positionH>
            <wp:positionV relativeFrom="paragraph">
              <wp:posOffset>417830</wp:posOffset>
            </wp:positionV>
            <wp:extent cx="1356360" cy="1955165"/>
            <wp:effectExtent l="0" t="0" r="0" b="6985"/>
            <wp:wrapTopAndBottom/>
            <wp:docPr id="29" name="图片 28" descr="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图1.jpg"/>
                    <pic:cNvPicPr>
                      <a:picLocks noChangeAspect="1"/>
                    </pic:cNvPicPr>
                  </pic:nvPicPr>
                  <pic:blipFill>
                    <a:blip r:embed="rId6"/>
                    <a:srcRect l="7510"/>
                    <a:stretch>
                      <a:fillRect/>
                    </a:stretch>
                  </pic:blipFill>
                  <pic:spPr>
                    <a:xfrm>
                      <a:off x="0" y="0"/>
                      <a:ext cx="1356360" cy="1955165"/>
                    </a:xfrm>
                    <a:prstGeom prst="rect">
                      <a:avLst/>
                    </a:prstGeom>
                    <a:ln>
                      <a:noFill/>
                    </a:ln>
                    <a:effectLst/>
                  </pic:spPr>
                </pic:pic>
              </a:graphicData>
            </a:graphic>
          </wp:anchor>
        </w:drawing>
      </w:r>
      <w:r>
        <w:rPr>
          <w:rFonts w:ascii="仿宋_GB2312" w:eastAsia="仿宋_GB2312"/>
          <w:sz w:val="32"/>
          <w:szCs w:val="32"/>
        </w:rPr>
        <w:drawing>
          <wp:anchor distT="0" distB="0" distL="114300" distR="114300" simplePos="0" relativeHeight="251661312" behindDoc="0" locked="0" layoutInCell="1" allowOverlap="1">
            <wp:simplePos x="0" y="0"/>
            <wp:positionH relativeFrom="column">
              <wp:posOffset>1189990</wp:posOffset>
            </wp:positionH>
            <wp:positionV relativeFrom="paragraph">
              <wp:posOffset>417830</wp:posOffset>
            </wp:positionV>
            <wp:extent cx="1416050" cy="1957705"/>
            <wp:effectExtent l="0" t="0" r="0" b="4445"/>
            <wp:wrapTopAndBottom/>
            <wp:docPr id="26" name="图片 25" descr="25a8ddde4fdd1f1f87521bf3d4f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25a8ddde4fdd1f1f87521bf3d4f5534.jpg"/>
                    <pic:cNvPicPr>
                      <a:picLocks noChangeAspect="1"/>
                    </pic:cNvPicPr>
                  </pic:nvPicPr>
                  <pic:blipFill>
                    <a:blip r:embed="rId7"/>
                    <a:srcRect l="55334" t="23649" r="3220"/>
                    <a:stretch>
                      <a:fillRect/>
                    </a:stretch>
                  </pic:blipFill>
                  <pic:spPr>
                    <a:xfrm>
                      <a:off x="0" y="0"/>
                      <a:ext cx="1416050" cy="1957705"/>
                    </a:xfrm>
                    <a:prstGeom prst="rect">
                      <a:avLst/>
                    </a:prstGeom>
                    <a:ln>
                      <a:noFill/>
                    </a:ln>
                    <a:effectLst/>
                  </pic:spPr>
                </pic:pic>
              </a:graphicData>
            </a:graphic>
          </wp:anchor>
        </w:drawing>
      </w:r>
      <w:r>
        <w:rPr>
          <w:rFonts w:ascii="仿宋_GB2312" w:eastAsia="仿宋_GB2312"/>
          <w:sz w:val="32"/>
          <w:szCs w:val="32"/>
        </w:rPr>
        <w:drawing>
          <wp:anchor distT="0" distB="0" distL="114300" distR="114300" simplePos="0" relativeHeight="251659264" behindDoc="0" locked="0" layoutInCell="1" allowOverlap="1">
            <wp:simplePos x="0" y="0"/>
            <wp:positionH relativeFrom="column">
              <wp:posOffset>2661285</wp:posOffset>
            </wp:positionH>
            <wp:positionV relativeFrom="paragraph">
              <wp:posOffset>417830</wp:posOffset>
            </wp:positionV>
            <wp:extent cx="1346835" cy="1959610"/>
            <wp:effectExtent l="0" t="0" r="5715" b="2540"/>
            <wp:wrapTopAndBottom/>
            <wp:docPr id="24" name="图片 2" descr="金石齿轮钻头（已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金石齿轮钻头（已处理）"/>
                    <pic:cNvPicPr>
                      <a:picLocks noChangeAspect="1" noChangeArrowheads="1"/>
                    </pic:cNvPicPr>
                  </pic:nvPicPr>
                  <pic:blipFill>
                    <a:blip r:embed="rId8"/>
                    <a:srcRect l="8103" t="14290" r="16094" b="3428"/>
                    <a:stretch>
                      <a:fillRect/>
                    </a:stretch>
                  </pic:blipFill>
                  <pic:spPr>
                    <a:xfrm>
                      <a:off x="0" y="0"/>
                      <a:ext cx="1346835" cy="1959610"/>
                    </a:xfrm>
                    <a:prstGeom prst="rect">
                      <a:avLst/>
                    </a:prstGeom>
                    <a:ln>
                      <a:noFill/>
                    </a:ln>
                    <a:effectLst/>
                  </pic:spPr>
                </pic:pic>
              </a:graphicData>
            </a:graphic>
          </wp:anchor>
        </w:drawing>
      </w:r>
      <w:r>
        <w:rPr>
          <w:rFonts w:ascii="仿宋_GB2312" w:eastAsia="仿宋_GB2312"/>
          <w:sz w:val="32"/>
          <w:szCs w:val="32"/>
        </w:rPr>
        <w:drawing>
          <wp:anchor distT="0" distB="0" distL="114300" distR="114300" simplePos="0" relativeHeight="251660288" behindDoc="0" locked="0" layoutInCell="1" allowOverlap="1">
            <wp:simplePos x="0" y="0"/>
            <wp:positionH relativeFrom="page">
              <wp:posOffset>5204460</wp:posOffset>
            </wp:positionH>
            <wp:positionV relativeFrom="paragraph">
              <wp:posOffset>427990</wp:posOffset>
            </wp:positionV>
            <wp:extent cx="1508760" cy="1951990"/>
            <wp:effectExtent l="0" t="0" r="0" b="0"/>
            <wp:wrapTopAndBottom/>
            <wp:docPr id="25" name="图片 24" descr="IMG_20200811_18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IMG_20200811_183447.jpg"/>
                    <pic:cNvPicPr>
                      <a:picLocks noChangeAspect="1"/>
                    </pic:cNvPicPr>
                  </pic:nvPicPr>
                  <pic:blipFill>
                    <a:blip r:embed="rId9"/>
                    <a:srcRect l="14444" t="10000" r="4568" b="11481"/>
                    <a:stretch>
                      <a:fillRect/>
                    </a:stretch>
                  </pic:blipFill>
                  <pic:spPr>
                    <a:xfrm>
                      <a:off x="0" y="0"/>
                      <a:ext cx="1508760" cy="1951990"/>
                    </a:xfrm>
                    <a:prstGeom prst="rect">
                      <a:avLst/>
                    </a:prstGeom>
                    <a:ln>
                      <a:noFill/>
                    </a:ln>
                    <a:effectLst/>
                  </pic:spPr>
                </pic:pic>
              </a:graphicData>
            </a:graphic>
          </wp:anchor>
        </w:drawing>
      </w:r>
      <w:r>
        <w:rPr>
          <w:rFonts w:hint="eastAsia" w:ascii="仿宋_GB2312" w:eastAsia="仿宋_GB2312"/>
          <w:sz w:val="32"/>
          <w:szCs w:val="32"/>
        </w:rPr>
        <w:t>代替水坑（见图2），避免开挖坑洞破坏原始地形地貌</w:t>
      </w:r>
      <w:r>
        <w:rPr>
          <w:rFonts w:ascii="仿宋_GB2312" w:eastAsia="仿宋_GB2312"/>
          <w:sz w:val="32"/>
          <w:szCs w:val="32"/>
        </w:rPr>
        <w:t>。</w:t>
      </w:r>
    </w:p>
    <w:p w14:paraId="71ACACA9">
      <w:pPr>
        <w:spacing w:line="500" w:lineRule="exact"/>
        <w:jc w:val="center"/>
        <w:rPr>
          <w:rFonts w:ascii="Times New Roman" w:hAnsi="Times New Roman" w:eastAsia="仿宋_GB2312" w:cs="Times New Roman"/>
          <w:sz w:val="28"/>
          <w:szCs w:val="28"/>
        </w:rPr>
      </w:pPr>
      <w:r>
        <w:rPr>
          <w:rFonts w:hint="eastAsia" w:ascii="Times New Roman" w:hAnsi="Times New Roman" w:eastAsia="Adobe 黑体 Std R" w:cs="Times New Roman"/>
          <w:sz w:val="28"/>
          <w:szCs w:val="28"/>
        </w:rPr>
        <w:drawing>
          <wp:anchor distT="0" distB="0" distL="114300" distR="114300" simplePos="0" relativeHeight="251679744" behindDoc="0" locked="0" layoutInCell="1" allowOverlap="1">
            <wp:simplePos x="0" y="0"/>
            <wp:positionH relativeFrom="column">
              <wp:posOffset>3028315</wp:posOffset>
            </wp:positionH>
            <wp:positionV relativeFrom="paragraph">
              <wp:posOffset>2362835</wp:posOffset>
            </wp:positionV>
            <wp:extent cx="2482850" cy="2122805"/>
            <wp:effectExtent l="0" t="0" r="0"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482850" cy="2122805"/>
                    </a:xfrm>
                    <a:prstGeom prst="rect">
                      <a:avLst/>
                    </a:prstGeom>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78720" behindDoc="0" locked="0" layoutInCell="1" allowOverlap="1">
            <wp:simplePos x="0" y="0"/>
            <wp:positionH relativeFrom="margin">
              <wp:posOffset>80645</wp:posOffset>
            </wp:positionH>
            <wp:positionV relativeFrom="paragraph">
              <wp:posOffset>2350135</wp:posOffset>
            </wp:positionV>
            <wp:extent cx="2809875" cy="2152650"/>
            <wp:effectExtent l="0" t="0" r="9525"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extLst>
                        <a:ext uri="{28A0092B-C50C-407E-A947-70E740481C1C}">
                          <a14:useLocalDpi xmlns:a14="http://schemas.microsoft.com/office/drawing/2010/main" val="0"/>
                        </a:ext>
                      </a:extLst>
                    </a:blip>
                    <a:srcRect t="48137"/>
                    <a:stretch>
                      <a:fillRect/>
                    </a:stretch>
                  </pic:blipFill>
                  <pic:spPr>
                    <a:xfrm>
                      <a:off x="0" y="0"/>
                      <a:ext cx="2809875" cy="2152650"/>
                    </a:xfrm>
                    <a:prstGeom prst="rect">
                      <a:avLst/>
                    </a:prstGeom>
                    <a:ln>
                      <a:noFill/>
                    </a:ln>
                  </pic:spPr>
                </pic:pic>
              </a:graphicData>
            </a:graphic>
          </wp:anchor>
        </w:drawing>
      </w:r>
      <w:r>
        <w:rPr>
          <w:rFonts w:hint="eastAsia" w:ascii="Times New Roman" w:hAnsi="Times New Roman" w:eastAsia="Adobe 黑体 Std R" w:cs="Times New Roman"/>
          <w:sz w:val="28"/>
          <w:szCs w:val="28"/>
        </w:rPr>
        <w:t>图1</w:t>
      </w:r>
      <w:r>
        <w:rPr>
          <w:rFonts w:ascii="Times New Roman" w:hAnsi="Times New Roman" w:eastAsia="Adobe 黑体 Std R" w:cs="Times New Roman"/>
          <w:sz w:val="28"/>
          <w:szCs w:val="28"/>
        </w:rPr>
        <w:t xml:space="preserve"> </w:t>
      </w:r>
      <w:r>
        <w:rPr>
          <w:rFonts w:hint="eastAsia" w:ascii="Times New Roman" w:hAnsi="Times New Roman" w:eastAsia="Adobe 黑体 Std R" w:cs="Times New Roman"/>
          <w:sz w:val="28"/>
          <w:szCs w:val="28"/>
        </w:rPr>
        <w:t>创新绿色钻探技术方法</w:t>
      </w:r>
    </w:p>
    <w:p w14:paraId="080C24B7">
      <w:pPr>
        <w:spacing w:line="500" w:lineRule="exact"/>
        <w:jc w:val="center"/>
        <w:rPr>
          <w:rFonts w:ascii="Times New Roman" w:hAnsi="Times New Roman" w:eastAsia="Adobe 黑体 Std R" w:cs="Times New Roman"/>
          <w:sz w:val="28"/>
          <w:szCs w:val="28"/>
        </w:rPr>
      </w:pPr>
      <w:r>
        <w:rPr>
          <w:rFonts w:hint="eastAsia" w:ascii="Times New Roman" w:hAnsi="Times New Roman" w:eastAsia="仿宋_GB2312" w:cs="Times New Roman"/>
          <w:sz w:val="28"/>
          <w:szCs w:val="28"/>
        </w:rPr>
        <w:t xml:space="preserve"> </w:t>
      </w:r>
      <w:r>
        <w:rPr>
          <w:rFonts w:ascii="Times New Roman" w:hAnsi="Times New Roman" w:eastAsia="仿宋_GB2312" w:cs="Times New Roman"/>
          <w:sz w:val="28"/>
          <w:szCs w:val="28"/>
        </w:rPr>
        <w:t xml:space="preserve">    （a）</w:t>
      </w:r>
      <w:r>
        <w:rPr>
          <w:rFonts w:hint="eastAsia" w:ascii="Times New Roman" w:hAnsi="Times New Roman" w:eastAsia="仿宋_GB2312" w:cs="Times New Roman"/>
          <w:sz w:val="28"/>
          <w:szCs w:val="28"/>
        </w:rPr>
        <w:t>传统蓄水池开挖</w:t>
      </w:r>
      <w:r>
        <w:rPr>
          <w:rFonts w:ascii="Times New Roman" w:hAnsi="Times New Roman" w:eastAsia="仿宋_GB2312" w:cs="Times New Roman"/>
          <w:sz w:val="28"/>
          <w:szCs w:val="28"/>
        </w:rPr>
        <w:t xml:space="preserve">          （b）</w:t>
      </w:r>
      <w:r>
        <w:rPr>
          <w:rFonts w:hint="eastAsia" w:ascii="Times New Roman" w:hAnsi="Times New Roman" w:eastAsia="仿宋_GB2312" w:cs="Times New Roman"/>
          <w:sz w:val="28"/>
          <w:szCs w:val="28"/>
        </w:rPr>
        <w:t>便携式泥浆池或蓄水袋</w:t>
      </w:r>
    </w:p>
    <w:p w14:paraId="54E92AE4">
      <w:pPr>
        <w:spacing w:line="500" w:lineRule="exact"/>
        <w:jc w:val="center"/>
        <w:rPr>
          <w:rFonts w:ascii="Times New Roman" w:hAnsi="Times New Roman" w:eastAsia="Adobe 黑体 Std R" w:cs="Times New Roman"/>
          <w:sz w:val="28"/>
          <w:szCs w:val="28"/>
        </w:rPr>
      </w:pPr>
      <w:r>
        <w:rPr>
          <w:rFonts w:hint="eastAsia" w:ascii="Times New Roman" w:hAnsi="Times New Roman" w:eastAsia="Adobe 黑体 Std R" w:cs="Times New Roman"/>
          <w:sz w:val="28"/>
          <w:szCs w:val="28"/>
        </w:rPr>
        <w:t>图</w:t>
      </w:r>
      <w:r>
        <w:rPr>
          <w:rFonts w:ascii="Times New Roman" w:hAnsi="Times New Roman" w:eastAsia="Adobe 黑体 Std R" w:cs="Times New Roman"/>
          <w:sz w:val="28"/>
          <w:szCs w:val="28"/>
        </w:rPr>
        <w:t xml:space="preserve">2 </w:t>
      </w:r>
      <w:r>
        <w:rPr>
          <w:rFonts w:hint="eastAsia" w:ascii="Times New Roman" w:hAnsi="Times New Roman" w:eastAsia="Adobe 黑体 Std R" w:cs="Times New Roman"/>
          <w:sz w:val="28"/>
          <w:szCs w:val="28"/>
        </w:rPr>
        <w:t>减少地表坑洞开挖</w:t>
      </w:r>
    </w:p>
    <w:p w14:paraId="101F3F54">
      <w:pPr>
        <w:ind w:firstLine="640" w:firstLineChars="200"/>
        <w:rPr>
          <w:rFonts w:ascii="仿宋_GB2312" w:eastAsia="仿宋_GB2312"/>
          <w:sz w:val="32"/>
          <w:szCs w:val="32"/>
        </w:rPr>
      </w:pPr>
      <w:r>
        <w:rPr>
          <w:rFonts w:hint="eastAsia" w:ascii="仿宋_GB2312" w:eastAsia="仿宋_GB2312"/>
          <w:sz w:val="32"/>
          <w:szCs w:val="32"/>
        </w:rPr>
        <w:t>以在陕西宁强秦巴地区的“</w:t>
      </w:r>
      <w:bookmarkStart w:id="13" w:name="OLE_LINK13"/>
      <w:r>
        <w:rPr>
          <w:rFonts w:hint="eastAsia" w:ascii="仿宋_GB2312" w:eastAsia="仿宋_GB2312"/>
          <w:sz w:val="32"/>
          <w:szCs w:val="32"/>
        </w:rPr>
        <w:t>金银矿产资源勘查</w:t>
      </w:r>
      <w:bookmarkEnd w:id="13"/>
      <w:r>
        <w:rPr>
          <w:rFonts w:hint="eastAsia" w:ascii="仿宋_GB2312" w:eastAsia="仿宋_GB2312"/>
          <w:sz w:val="32"/>
          <w:szCs w:val="32"/>
        </w:rPr>
        <w:t>”项目为例，该项目根据工区地形地貌，结合地层岩性、钻孔设计参数、费用成本以及环保政策等因素，科学选用钻探装备及配套设施，控制机台临时占地规模和运输道路修筑规模，垫坡或挑空搭建机场（见图3），可减少开边坡挖量，预防边坡坍塌、土石滚落，避免地表植被压覆破坏，充分利用原有便道，采用微型山地车代替大型的运输车辆（图4），以减少地表道路修筑工程破坏。通过对比便携式钻机与传统立轴式钻机应用（见图</w:t>
      </w:r>
      <w:r>
        <w:rPr>
          <w:rFonts w:ascii="仿宋_GB2312" w:eastAsia="仿宋_GB2312"/>
          <w:sz w:val="32"/>
          <w:szCs w:val="32"/>
        </w:rPr>
        <w:t>5</w:t>
      </w:r>
      <w:r>
        <w:rPr>
          <w:rFonts w:hint="eastAsia" w:ascii="仿宋_GB2312" w:eastAsia="仿宋_GB2312"/>
          <w:sz w:val="32"/>
          <w:szCs w:val="32"/>
        </w:rPr>
        <w:t>），钻探场地修建对地表破坏减少了</w:t>
      </w:r>
      <w:r>
        <w:rPr>
          <w:rFonts w:ascii="仿宋_GB2312" w:eastAsia="仿宋_GB2312"/>
          <w:sz w:val="32"/>
          <w:szCs w:val="32"/>
        </w:rPr>
        <w:t>80%</w:t>
      </w:r>
      <w:r>
        <w:rPr>
          <w:rFonts w:hint="eastAsia" w:ascii="仿宋_GB2312" w:eastAsia="仿宋_GB2312"/>
          <w:sz w:val="32"/>
          <w:szCs w:val="32"/>
        </w:rPr>
        <w:t>，单机台综合施工成本可每年节省</w:t>
      </w:r>
      <w:r>
        <w:rPr>
          <w:rFonts w:ascii="仿宋_GB2312" w:eastAsia="仿宋_GB2312"/>
          <w:sz w:val="32"/>
          <w:szCs w:val="32"/>
        </w:rPr>
        <w:t>10</w:t>
      </w:r>
      <w:r>
        <w:rPr>
          <w:rFonts w:hint="eastAsia" w:ascii="仿宋_GB2312" w:eastAsia="仿宋_GB2312"/>
          <w:sz w:val="32"/>
          <w:szCs w:val="32"/>
        </w:rPr>
        <w:t>余万元，临时用地、青苗补偿、绿色环保材料及复垦复绿等成本可降低</w:t>
      </w:r>
      <w:r>
        <w:rPr>
          <w:rFonts w:ascii="仿宋_GB2312" w:eastAsia="仿宋_GB2312"/>
          <w:sz w:val="32"/>
          <w:szCs w:val="32"/>
        </w:rPr>
        <w:t>40%</w:t>
      </w:r>
      <w:r>
        <w:rPr>
          <w:rFonts w:hint="eastAsia" w:ascii="仿宋_GB2312" w:eastAsia="仿宋_GB2312"/>
          <w:sz w:val="32"/>
          <w:szCs w:val="32"/>
        </w:rPr>
        <w:t>左右。同时加强钻探场地防护，机台铺设防渗膜，油料区铺设防渗膜，泥浆循环不落地措施，生活垃圾、生产废料和废油料分类集中收</w:t>
      </w:r>
      <w:bookmarkStart w:id="14" w:name="OLE_LINK14"/>
      <w:bookmarkStart w:id="15" w:name="OLE_LINK15"/>
      <w:r>
        <w:rPr>
          <w:rFonts w:ascii="Times New Roman" w:hAnsi="Times New Roman" w:eastAsia="Adobe 黑体 Std R" w:cs="Times New Roman"/>
          <w:sz w:val="28"/>
          <w:szCs w:val="28"/>
        </w:rPr>
        <w:drawing>
          <wp:anchor distT="0" distB="0" distL="114300" distR="114300" simplePos="0" relativeHeight="251663360" behindDoc="1" locked="0" layoutInCell="1" allowOverlap="1">
            <wp:simplePos x="0" y="0"/>
            <wp:positionH relativeFrom="margin">
              <wp:posOffset>615950</wp:posOffset>
            </wp:positionH>
            <wp:positionV relativeFrom="paragraph">
              <wp:posOffset>2369820</wp:posOffset>
            </wp:positionV>
            <wp:extent cx="1803400" cy="1649730"/>
            <wp:effectExtent l="0" t="0" r="6350" b="7620"/>
            <wp:wrapTopAndBottom/>
            <wp:docPr id="69641" name="图片 13" descr="QQ浏览器截图20210113185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 name="图片 13" descr="QQ浏览器截图20210113185104.png"/>
                    <pic:cNvPicPr>
                      <a:picLocks noChangeAspect="1"/>
                    </pic:cNvPicPr>
                  </pic:nvPicPr>
                  <pic:blipFill>
                    <a:blip r:embed="rId12" cstate="print">
                      <a:extLst>
                        <a:ext uri="{28A0092B-C50C-407E-A947-70E740481C1C}">
                          <a14:useLocalDpi xmlns:a14="http://schemas.microsoft.com/office/drawing/2010/main" val="0"/>
                        </a:ext>
                      </a:extLst>
                    </a:blip>
                    <a:srcRect t="38168" r="9962" b="-2"/>
                    <a:stretch>
                      <a:fillRect/>
                    </a:stretch>
                  </pic:blipFill>
                  <pic:spPr>
                    <a:xfrm>
                      <a:off x="0" y="0"/>
                      <a:ext cx="1803400" cy="1649730"/>
                    </a:xfrm>
                    <a:prstGeom prst="rect">
                      <a:avLst/>
                    </a:prstGeom>
                    <a:noFill/>
                    <a:ln>
                      <a:noFill/>
                    </a:ln>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4384" behindDoc="0" locked="0" layoutInCell="1" allowOverlap="1">
            <wp:simplePos x="0" y="0"/>
            <wp:positionH relativeFrom="margin">
              <wp:posOffset>2520315</wp:posOffset>
            </wp:positionH>
            <wp:positionV relativeFrom="paragraph">
              <wp:posOffset>2832735</wp:posOffset>
            </wp:positionV>
            <wp:extent cx="2082800" cy="1167130"/>
            <wp:effectExtent l="0" t="0" r="0" b="0"/>
            <wp:wrapNone/>
            <wp:docPr id="696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3" name="图片 3"/>
                    <pic:cNvPicPr>
                      <a:picLocks noChangeAspect="1"/>
                    </pic:cNvPicPr>
                  </pic:nvPicPr>
                  <pic:blipFill>
                    <a:blip r:embed="rId13" cstate="print">
                      <a:extLst>
                        <a:ext uri="{28A0092B-C50C-407E-A947-70E740481C1C}">
                          <a14:useLocalDpi xmlns:a14="http://schemas.microsoft.com/office/drawing/2010/main" val="0"/>
                        </a:ext>
                      </a:extLst>
                    </a:blip>
                    <a:srcRect t="9596" b="15656"/>
                    <a:stretch>
                      <a:fillRect/>
                    </a:stretch>
                  </pic:blipFill>
                  <pic:spPr>
                    <a:xfrm>
                      <a:off x="0" y="0"/>
                      <a:ext cx="2082800" cy="1167130"/>
                    </a:xfrm>
                    <a:prstGeom prst="rect">
                      <a:avLst/>
                    </a:prstGeom>
                    <a:noFill/>
                    <a:ln>
                      <a:noFill/>
                    </a:ln>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5408" behindDoc="0" locked="0" layoutInCell="1" allowOverlap="1">
            <wp:simplePos x="0" y="0"/>
            <wp:positionH relativeFrom="margin">
              <wp:posOffset>2520950</wp:posOffset>
            </wp:positionH>
            <wp:positionV relativeFrom="paragraph">
              <wp:posOffset>2376170</wp:posOffset>
            </wp:positionV>
            <wp:extent cx="2082165" cy="934720"/>
            <wp:effectExtent l="0" t="0" r="0" b="0"/>
            <wp:wrapNone/>
            <wp:docPr id="69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4" name="图片 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082165" cy="934720"/>
                    </a:xfrm>
                    <a:prstGeom prst="rect">
                      <a:avLst/>
                    </a:prstGeom>
                    <a:noFill/>
                    <a:ln>
                      <a:noFill/>
                    </a:ln>
                  </pic:spPr>
                </pic:pic>
              </a:graphicData>
            </a:graphic>
          </wp:anchor>
        </w:drawing>
      </w:r>
      <w:r>
        <w:rPr>
          <w:rFonts w:hint="eastAsia" w:ascii="仿宋_GB2312" w:eastAsia="仿宋_GB2312"/>
          <w:sz w:val="32"/>
          <w:szCs w:val="32"/>
        </w:rPr>
        <w:t>集存放，减少了环境污染</w:t>
      </w:r>
      <w:bookmarkEnd w:id="14"/>
      <w:bookmarkEnd w:id="15"/>
      <w:r>
        <w:rPr>
          <w:rFonts w:hint="eastAsia" w:ascii="仿宋_GB2312" w:eastAsia="仿宋_GB2312"/>
          <w:sz w:val="32"/>
          <w:szCs w:val="32"/>
        </w:rPr>
        <w:t>（见图6）。</w:t>
      </w:r>
    </w:p>
    <w:p w14:paraId="19CD2C78">
      <w:pPr>
        <w:ind w:firstLine="1120" w:firstLineChars="400"/>
        <w:rPr>
          <w:rFonts w:ascii="Times New Roman" w:hAnsi="Times New Roman" w:eastAsia="仿宋_GB2312" w:cs="Times New Roman"/>
          <w:sz w:val="28"/>
          <w:szCs w:val="28"/>
        </w:rPr>
      </w:pPr>
      <w:r>
        <w:rPr>
          <w:rFonts w:ascii="Times New Roman" w:hAnsi="Times New Roman" w:eastAsia="仿宋_GB2312" w:cs="Times New Roman"/>
          <w:sz w:val="28"/>
          <w:szCs w:val="28"/>
        </w:rPr>
        <w:t>（a）</w:t>
      </w:r>
      <w:r>
        <w:rPr>
          <w:rFonts w:hint="eastAsia" w:ascii="Times New Roman" w:hAnsi="Times New Roman" w:eastAsia="仿宋_GB2312" w:cs="Times New Roman"/>
          <w:sz w:val="28"/>
          <w:szCs w:val="28"/>
        </w:rPr>
        <w:t>垫坡搭建机场</w:t>
      </w:r>
      <w:r>
        <w:rPr>
          <w:rFonts w:ascii="Times New Roman" w:hAnsi="Times New Roman" w:eastAsia="仿宋_GB2312" w:cs="Times New Roman"/>
          <w:sz w:val="28"/>
          <w:szCs w:val="28"/>
        </w:rPr>
        <w:t xml:space="preserve">       （b）</w:t>
      </w:r>
      <w:r>
        <w:rPr>
          <w:rFonts w:hint="eastAsia" w:ascii="Times New Roman" w:hAnsi="Times New Roman" w:eastAsia="仿宋_GB2312" w:cs="Times New Roman"/>
          <w:sz w:val="28"/>
          <w:szCs w:val="28"/>
        </w:rPr>
        <w:t>挑空搭建机场</w:t>
      </w:r>
    </w:p>
    <w:p w14:paraId="6F2FBED9">
      <w:pPr>
        <w:spacing w:line="500" w:lineRule="exact"/>
        <w:jc w:val="center"/>
        <w:rPr>
          <w:rFonts w:ascii="Times New Roman" w:hAnsi="Times New Roman" w:eastAsia="Adobe 黑体 Std R" w:cs="Times New Roman"/>
          <w:sz w:val="28"/>
          <w:szCs w:val="28"/>
        </w:rPr>
      </w:pPr>
      <w:r>
        <w:rPr>
          <w:rFonts w:ascii="Times New Roman" w:hAnsi="Times New Roman" w:eastAsia="Adobe 黑体 Std R" w:cs="Times New Roman"/>
          <w:sz w:val="28"/>
          <w:szCs w:val="28"/>
        </w:rPr>
        <w:drawing>
          <wp:anchor distT="0" distB="0" distL="114300" distR="114300" simplePos="0" relativeHeight="251680768" behindDoc="0" locked="0" layoutInCell="1" allowOverlap="1">
            <wp:simplePos x="0" y="0"/>
            <wp:positionH relativeFrom="column">
              <wp:posOffset>2748280</wp:posOffset>
            </wp:positionH>
            <wp:positionV relativeFrom="paragraph">
              <wp:posOffset>349250</wp:posOffset>
            </wp:positionV>
            <wp:extent cx="1759585" cy="1805940"/>
            <wp:effectExtent l="0" t="0" r="0" b="3810"/>
            <wp:wrapTopAndBottom/>
            <wp:docPr id="8" name="图片 16" descr="IMG_20200730_10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IMG_20200730_105826.jpg"/>
                    <pic:cNvPicPr>
                      <a:picLocks noChangeAspect="1"/>
                    </pic:cNvPicPr>
                  </pic:nvPicPr>
                  <pic:blipFill>
                    <a:blip r:embed="rId15" cstate="print">
                      <a:extLst>
                        <a:ext uri="{28A0092B-C50C-407E-A947-70E740481C1C}">
                          <a14:useLocalDpi xmlns:a14="http://schemas.microsoft.com/office/drawing/2010/main" val="0"/>
                        </a:ext>
                      </a:extLst>
                    </a:blip>
                    <a:srcRect t="10696" b="14437"/>
                    <a:stretch>
                      <a:fillRect/>
                    </a:stretch>
                  </pic:blipFill>
                  <pic:spPr>
                    <a:xfrm>
                      <a:off x="0" y="0"/>
                      <a:ext cx="1759585" cy="1805940"/>
                    </a:xfrm>
                    <a:prstGeom prst="rect">
                      <a:avLst/>
                    </a:prstGeom>
                    <a:ln>
                      <a:noFill/>
                    </a:ln>
                    <a:effectLst/>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81792" behindDoc="0" locked="0" layoutInCell="1" allowOverlap="1">
            <wp:simplePos x="0" y="0"/>
            <wp:positionH relativeFrom="column">
              <wp:posOffset>767080</wp:posOffset>
            </wp:positionH>
            <wp:positionV relativeFrom="paragraph">
              <wp:posOffset>360680</wp:posOffset>
            </wp:positionV>
            <wp:extent cx="1812290" cy="1798320"/>
            <wp:effectExtent l="0" t="0" r="0" b="0"/>
            <wp:wrapTopAndBottom/>
            <wp:docPr id="9" name="图片 15" descr="128fb5e38c9f843039b2c70deeab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descr="128fb5e38c9f843039b2c70deeab914.jpg"/>
                    <pic:cNvPicPr>
                      <a:picLocks noChangeAspect="1"/>
                    </pic:cNvPicPr>
                  </pic:nvPicPr>
                  <pic:blipFill>
                    <a:blip r:embed="rId16" cstate="print">
                      <a:extLst>
                        <a:ext uri="{28A0092B-C50C-407E-A947-70E740481C1C}">
                          <a14:useLocalDpi xmlns:a14="http://schemas.microsoft.com/office/drawing/2010/main" val="0"/>
                        </a:ext>
                      </a:extLst>
                    </a:blip>
                    <a:srcRect t="43677" r="33556" b="6862"/>
                    <a:stretch>
                      <a:fillRect/>
                    </a:stretch>
                  </pic:blipFill>
                  <pic:spPr>
                    <a:xfrm>
                      <a:off x="0" y="0"/>
                      <a:ext cx="1812290" cy="1798320"/>
                    </a:xfrm>
                    <a:prstGeom prst="rect">
                      <a:avLst/>
                    </a:prstGeom>
                    <a:ln>
                      <a:noFill/>
                    </a:ln>
                    <a:effectLst/>
                  </pic:spPr>
                </pic:pic>
              </a:graphicData>
            </a:graphic>
          </wp:anchor>
        </w:drawing>
      </w:r>
      <w:r>
        <w:rPr>
          <w:rFonts w:hint="eastAsia" w:ascii="Times New Roman" w:hAnsi="Times New Roman" w:eastAsia="Adobe 黑体 Std R" w:cs="Times New Roman"/>
          <w:sz w:val="28"/>
          <w:szCs w:val="28"/>
        </w:rPr>
        <w:t>图</w:t>
      </w:r>
      <w:r>
        <w:rPr>
          <w:rFonts w:ascii="Times New Roman" w:hAnsi="Times New Roman" w:eastAsia="Adobe 黑体 Std R" w:cs="Times New Roman"/>
          <w:sz w:val="28"/>
          <w:szCs w:val="28"/>
        </w:rPr>
        <w:t xml:space="preserve">3 </w:t>
      </w:r>
      <w:r>
        <w:rPr>
          <w:rFonts w:hint="eastAsia" w:ascii="Times New Roman" w:hAnsi="Times New Roman" w:eastAsia="Adobe 黑体 Std R" w:cs="Times New Roman"/>
          <w:sz w:val="28"/>
          <w:szCs w:val="28"/>
        </w:rPr>
        <w:t>垫坡或挑空搭建机场</w:t>
      </w:r>
    </w:p>
    <w:p w14:paraId="15B98112">
      <w:pPr>
        <w:spacing w:line="50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（a）农用三轮车（便道宽2.5~3m）</w:t>
      </w:r>
      <w:r>
        <w:rPr>
          <w:rFonts w:hint="eastAsia" w:ascii="Times New Roman" w:hAnsi="Times New Roman" w:eastAsia="仿宋_GB2312" w:cs="Times New Roman"/>
          <w:sz w:val="28"/>
          <w:szCs w:val="28"/>
        </w:rPr>
        <w:t xml:space="preserve"> </w:t>
      </w:r>
      <w:r>
        <w:rPr>
          <w:rFonts w:ascii="Times New Roman" w:hAnsi="Times New Roman" w:eastAsia="仿宋_GB2312" w:cs="Times New Roman"/>
          <w:sz w:val="28"/>
          <w:szCs w:val="28"/>
        </w:rPr>
        <w:t xml:space="preserve"> （b）微型山地车（便道宽0.8~1m）</w:t>
      </w:r>
    </w:p>
    <w:p w14:paraId="08995B4C">
      <w:pPr>
        <w:spacing w:line="500" w:lineRule="exact"/>
        <w:jc w:val="center"/>
        <w:rPr>
          <w:rFonts w:ascii="Times New Roman" w:hAnsi="Times New Roman" w:eastAsia="Adobe 黑体 Std R" w:cs="Times New Roman"/>
          <w:sz w:val="28"/>
          <w:szCs w:val="28"/>
        </w:rPr>
      </w:pPr>
      <w:r>
        <w:rPr>
          <w:rFonts w:hint="eastAsia" w:ascii="Times New Roman" w:hAnsi="Times New Roman" w:eastAsia="Adobe 黑体 Std R" w:cs="Times New Roman"/>
          <w:sz w:val="28"/>
          <w:szCs w:val="28"/>
        </w:rPr>
        <w:t>图</w:t>
      </w:r>
      <w:r>
        <w:rPr>
          <w:rFonts w:ascii="Times New Roman" w:hAnsi="Times New Roman" w:eastAsia="Adobe 黑体 Std R" w:cs="Times New Roman"/>
          <w:sz w:val="28"/>
          <w:szCs w:val="28"/>
        </w:rPr>
        <w:t xml:space="preserve">4 </w:t>
      </w:r>
      <w:r>
        <w:rPr>
          <w:rFonts w:hint="eastAsia" w:ascii="Times New Roman" w:hAnsi="Times New Roman" w:eastAsia="Adobe 黑体 Std R" w:cs="Times New Roman"/>
          <w:sz w:val="28"/>
          <w:szCs w:val="28"/>
        </w:rPr>
        <w:t>道路修筑规模对比</w:t>
      </w:r>
    </w:p>
    <w:p w14:paraId="7E501838">
      <w:pPr>
        <w:jc w:val="center"/>
        <w:rPr>
          <w:rFonts w:ascii="仿宋_GB2312" w:eastAsia="仿宋_GB2312"/>
          <w:sz w:val="32"/>
          <w:szCs w:val="32"/>
        </w:rPr>
      </w:pPr>
      <w:r>
        <w:rPr>
          <w:rFonts w:ascii="仿宋_GB2312" w:eastAsia="仿宋_GB2312"/>
          <w:sz w:val="32"/>
          <w:szCs w:val="32"/>
        </w:rPr>
        <w:drawing>
          <wp:inline distT="0" distB="0" distL="0" distR="0">
            <wp:extent cx="1896110" cy="1642745"/>
            <wp:effectExtent l="0" t="0" r="8890"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8898" cy="1688506"/>
                    </a:xfrm>
                    <a:prstGeom prst="rect">
                      <a:avLst/>
                    </a:prstGeom>
                    <a:ln>
                      <a:noFill/>
                    </a:ln>
                    <a:effectLst/>
                  </pic:spPr>
                </pic:pic>
              </a:graphicData>
            </a:graphic>
          </wp:inline>
        </w:drawing>
      </w:r>
      <w:r>
        <w:rPr>
          <w:rFonts w:hint="eastAsia" w:ascii="仿宋_GB2312" w:eastAsia="仿宋_GB2312"/>
          <w:sz w:val="32"/>
          <w:szCs w:val="32"/>
        </w:rPr>
        <w:t xml:space="preserve"> </w:t>
      </w:r>
      <w:r>
        <w:rPr>
          <w:rFonts w:ascii="仿宋_GB2312" w:eastAsia="仿宋_GB2312"/>
          <w:sz w:val="32"/>
          <w:szCs w:val="32"/>
        </w:rPr>
        <w:drawing>
          <wp:inline distT="0" distB="0" distL="0" distR="0">
            <wp:extent cx="2085340" cy="1642110"/>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36713" cy="1682613"/>
                    </a:xfrm>
                    <a:prstGeom prst="rect">
                      <a:avLst/>
                    </a:prstGeom>
                    <a:ln>
                      <a:noFill/>
                    </a:ln>
                    <a:effectLst/>
                  </pic:spPr>
                </pic:pic>
              </a:graphicData>
            </a:graphic>
          </wp:inline>
        </w:drawing>
      </w:r>
    </w:p>
    <w:p w14:paraId="61BE2396">
      <w:pPr>
        <w:ind w:firstLine="1120" w:firstLineChars="400"/>
        <w:rPr>
          <w:rFonts w:ascii="Times New Roman" w:hAnsi="Times New Roman" w:eastAsia="仿宋_GB2312" w:cs="Times New Roman"/>
          <w:sz w:val="28"/>
          <w:szCs w:val="28"/>
        </w:rPr>
      </w:pPr>
      <w:r>
        <w:rPr>
          <w:rFonts w:ascii="Times New Roman" w:hAnsi="Times New Roman" w:eastAsia="仿宋_GB2312" w:cs="Times New Roman"/>
          <w:sz w:val="28"/>
          <w:szCs w:val="28"/>
        </w:rPr>
        <w:t>（a）立轴钻机</w:t>
      </w:r>
      <w:r>
        <w:rPr>
          <w:rFonts w:hint="eastAsia" w:ascii="Times New Roman" w:hAnsi="Times New Roman" w:eastAsia="仿宋_GB2312" w:cs="Times New Roman"/>
          <w:sz w:val="28"/>
          <w:szCs w:val="28"/>
        </w:rPr>
        <w:t>机</w:t>
      </w:r>
      <w:r>
        <w:rPr>
          <w:rFonts w:ascii="Times New Roman" w:hAnsi="Times New Roman" w:eastAsia="仿宋_GB2312" w:cs="Times New Roman"/>
          <w:sz w:val="28"/>
          <w:szCs w:val="28"/>
        </w:rPr>
        <w:t>场       （b）便携式钻机</w:t>
      </w:r>
      <w:r>
        <w:rPr>
          <w:rFonts w:hint="eastAsia" w:ascii="Times New Roman" w:hAnsi="Times New Roman" w:eastAsia="仿宋_GB2312" w:cs="Times New Roman"/>
          <w:sz w:val="28"/>
          <w:szCs w:val="28"/>
        </w:rPr>
        <w:t>机场</w:t>
      </w:r>
    </w:p>
    <w:p w14:paraId="56682C73">
      <w:pPr>
        <w:spacing w:line="500" w:lineRule="exact"/>
        <w:jc w:val="center"/>
        <w:rPr>
          <w:rFonts w:ascii="Times New Roman" w:hAnsi="Times New Roman" w:eastAsia="Adobe 黑体 Std R" w:cs="Times New Roman"/>
          <w:sz w:val="28"/>
          <w:szCs w:val="28"/>
        </w:rPr>
      </w:pPr>
      <w:r>
        <w:rPr>
          <w:rFonts w:hint="eastAsia" w:ascii="Times New Roman" w:hAnsi="Times New Roman" w:eastAsia="Adobe 黑体 Std R" w:cs="Times New Roman"/>
          <w:sz w:val="28"/>
          <w:szCs w:val="28"/>
        </w:rPr>
        <w:t>图</w:t>
      </w:r>
      <w:r>
        <w:rPr>
          <w:rFonts w:ascii="Times New Roman" w:hAnsi="Times New Roman" w:eastAsia="Adobe 黑体 Std R" w:cs="Times New Roman"/>
          <w:sz w:val="28"/>
          <w:szCs w:val="28"/>
        </w:rPr>
        <w:t xml:space="preserve">5 </w:t>
      </w:r>
      <w:r>
        <w:rPr>
          <w:rFonts w:hint="eastAsia" w:ascii="Times New Roman" w:hAnsi="Times New Roman" w:eastAsia="Adobe 黑体 Std R" w:cs="Times New Roman"/>
          <w:sz w:val="28"/>
          <w:szCs w:val="28"/>
        </w:rPr>
        <w:t>便携式钻机与传统立轴式钻机应用场地占地规模对比</w:t>
      </w:r>
    </w:p>
    <w:p w14:paraId="757E1463">
      <w:pPr>
        <w:spacing w:line="500" w:lineRule="exact"/>
        <w:jc w:val="center"/>
        <w:rPr>
          <w:rFonts w:ascii="Times New Roman" w:hAnsi="Times New Roman" w:eastAsia="Adobe 黑体 Std R" w:cs="Times New Roman"/>
          <w:sz w:val="28"/>
          <w:szCs w:val="28"/>
        </w:rPr>
      </w:pPr>
    </w:p>
    <w:p w14:paraId="00E1074A">
      <w:pPr>
        <w:spacing w:line="500" w:lineRule="exact"/>
        <w:jc w:val="center"/>
        <w:rPr>
          <w:rFonts w:ascii="Times New Roman" w:hAnsi="Times New Roman" w:eastAsia="Adobe 黑体 Std R" w:cs="Times New Roman"/>
          <w:sz w:val="28"/>
          <w:szCs w:val="28"/>
        </w:rPr>
      </w:pPr>
      <w:r>
        <w:rPr>
          <w:rFonts w:ascii="Times New Roman" w:hAnsi="Times New Roman" w:eastAsia="Adobe 黑体 Std R" w:cs="Times New Roman"/>
          <w:sz w:val="28"/>
          <w:szCs w:val="28"/>
        </w:rPr>
        <w:drawing>
          <wp:anchor distT="0" distB="0" distL="114300" distR="114300" simplePos="0" relativeHeight="251670528" behindDoc="0" locked="0" layoutInCell="1" allowOverlap="1">
            <wp:simplePos x="0" y="0"/>
            <wp:positionH relativeFrom="column">
              <wp:posOffset>2792730</wp:posOffset>
            </wp:positionH>
            <wp:positionV relativeFrom="paragraph">
              <wp:posOffset>2019300</wp:posOffset>
            </wp:positionV>
            <wp:extent cx="2282825" cy="1930400"/>
            <wp:effectExtent l="0" t="0" r="3175" b="0"/>
            <wp:wrapTopAndBottom/>
            <wp:docPr id="20" name="图片 19" descr="图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图6f.jpg"/>
                    <pic:cNvPicPr>
                      <a:picLocks noChangeAspect="1"/>
                    </pic:cNvPicPr>
                  </pic:nvPicPr>
                  <pic:blipFill>
                    <a:blip r:embed="rId19" cstate="print">
                      <a:extLst>
                        <a:ext uri="{28A0092B-C50C-407E-A947-70E740481C1C}">
                          <a14:useLocalDpi xmlns:a14="http://schemas.microsoft.com/office/drawing/2010/main" val="0"/>
                        </a:ext>
                      </a:extLst>
                    </a:blip>
                    <a:srcRect r="4120"/>
                    <a:stretch>
                      <a:fillRect/>
                    </a:stretch>
                  </pic:blipFill>
                  <pic:spPr>
                    <a:xfrm>
                      <a:off x="0" y="0"/>
                      <a:ext cx="2282825" cy="1930400"/>
                    </a:xfrm>
                    <a:prstGeom prst="rect">
                      <a:avLst/>
                    </a:prstGeom>
                    <a:ln>
                      <a:noFill/>
                    </a:ln>
                    <a:effectLst/>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9504" behindDoc="0" locked="0" layoutInCell="1" allowOverlap="1">
            <wp:simplePos x="0" y="0"/>
            <wp:positionH relativeFrom="column">
              <wp:posOffset>223520</wp:posOffset>
            </wp:positionH>
            <wp:positionV relativeFrom="paragraph">
              <wp:posOffset>2027555</wp:posOffset>
            </wp:positionV>
            <wp:extent cx="1219200" cy="1922145"/>
            <wp:effectExtent l="0" t="0" r="0" b="1905"/>
            <wp:wrapTopAndBottom/>
            <wp:docPr id="21" name="图片 20" descr="1a70f97df7ad37b70d6b3b58a8da9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1a70f97df7ad37b70d6b3b58a8da9ac.jpg"/>
                    <pic:cNvPicPr>
                      <a:picLocks noChangeAspect="1"/>
                    </pic:cNvPicPr>
                  </pic:nvPicPr>
                  <pic:blipFill>
                    <a:blip r:embed="rId20"/>
                    <a:srcRect l="16420" t="7037" r="7164" b="2593"/>
                    <a:stretch>
                      <a:fillRect/>
                    </a:stretch>
                  </pic:blipFill>
                  <pic:spPr>
                    <a:xfrm>
                      <a:off x="0" y="0"/>
                      <a:ext cx="1219200" cy="1922145"/>
                    </a:xfrm>
                    <a:prstGeom prst="rect">
                      <a:avLst/>
                    </a:prstGeom>
                    <a:ln>
                      <a:noFill/>
                    </a:ln>
                    <a:effectLst/>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8480" behindDoc="0" locked="0" layoutInCell="1" allowOverlap="1">
            <wp:simplePos x="0" y="0"/>
            <wp:positionH relativeFrom="column">
              <wp:posOffset>1442720</wp:posOffset>
            </wp:positionH>
            <wp:positionV relativeFrom="paragraph">
              <wp:posOffset>2024380</wp:posOffset>
            </wp:positionV>
            <wp:extent cx="1257300" cy="1927225"/>
            <wp:effectExtent l="0" t="0" r="0" b="0"/>
            <wp:wrapTopAndBottom/>
            <wp:docPr id="3" name="图片 18" descr="图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descr="图6d.jpg"/>
                    <pic:cNvPicPr>
                      <a:picLocks noChangeAspect="1"/>
                    </pic:cNvPicPr>
                  </pic:nvPicPr>
                  <pic:blipFill>
                    <a:blip r:embed="rId21"/>
                    <a:srcRect l="48553" r="2520"/>
                    <a:stretch>
                      <a:fillRect/>
                    </a:stretch>
                  </pic:blipFill>
                  <pic:spPr>
                    <a:xfrm>
                      <a:off x="0" y="0"/>
                      <a:ext cx="1257300" cy="1927225"/>
                    </a:xfrm>
                    <a:prstGeom prst="rect">
                      <a:avLst/>
                    </a:prstGeom>
                    <a:ln>
                      <a:noFill/>
                    </a:ln>
                    <a:effectLst/>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7456" behindDoc="0" locked="0" layoutInCell="1" allowOverlap="1">
            <wp:simplePos x="0" y="0"/>
            <wp:positionH relativeFrom="column">
              <wp:posOffset>2778760</wp:posOffset>
            </wp:positionH>
            <wp:positionV relativeFrom="paragraph">
              <wp:posOffset>49530</wp:posOffset>
            </wp:positionV>
            <wp:extent cx="2282825" cy="1866900"/>
            <wp:effectExtent l="0" t="0" r="3175" b="0"/>
            <wp:wrapTopAndBottom/>
            <wp:docPr id="2" name="图片 15" descr="微信图片_2021052515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descr="微信图片_20210525155224.jpg"/>
                    <pic:cNvPicPr>
                      <a:picLocks noChangeAspect="1"/>
                    </pic:cNvPicPr>
                  </pic:nvPicPr>
                  <pic:blipFill>
                    <a:blip r:embed="rId22">
                      <a:extLst>
                        <a:ext uri="{28A0092B-C50C-407E-A947-70E740481C1C}">
                          <a14:useLocalDpi xmlns:a14="http://schemas.microsoft.com/office/drawing/2010/main" val="0"/>
                        </a:ext>
                      </a:extLst>
                    </a:blip>
                    <a:srcRect r="11015"/>
                    <a:stretch>
                      <a:fillRect/>
                    </a:stretch>
                  </pic:blipFill>
                  <pic:spPr>
                    <a:xfrm>
                      <a:off x="0" y="0"/>
                      <a:ext cx="2282825" cy="1866900"/>
                    </a:xfrm>
                    <a:prstGeom prst="rect">
                      <a:avLst/>
                    </a:prstGeom>
                    <a:ln>
                      <a:noFill/>
                    </a:ln>
                    <a:effectLst/>
                  </pic:spPr>
                </pic:pic>
              </a:graphicData>
            </a:graphic>
          </wp:anchor>
        </w:drawing>
      </w:r>
      <w:r>
        <w:rPr>
          <w:rFonts w:ascii="Times New Roman" w:hAnsi="Times New Roman" w:eastAsia="Adobe 黑体 Std R" w:cs="Times New Roman"/>
          <w:sz w:val="28"/>
          <w:szCs w:val="28"/>
        </w:rPr>
        <w:drawing>
          <wp:anchor distT="0" distB="0" distL="114300" distR="114300" simplePos="0" relativeHeight="251666432" behindDoc="0" locked="0" layoutInCell="1" allowOverlap="1">
            <wp:simplePos x="0" y="0"/>
            <wp:positionH relativeFrom="margin">
              <wp:posOffset>196850</wp:posOffset>
            </wp:positionH>
            <wp:positionV relativeFrom="paragraph">
              <wp:posOffset>56515</wp:posOffset>
            </wp:positionV>
            <wp:extent cx="2490470" cy="1866900"/>
            <wp:effectExtent l="0" t="0" r="5080" b="0"/>
            <wp:wrapTopAndBottom/>
            <wp:docPr id="12" name="图片 11" descr="f2a896d90ac04bd150810541fb7b0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f2a896d90ac04bd150810541fb7b0ab.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90470" cy="1866900"/>
                    </a:xfrm>
                    <a:prstGeom prst="rect">
                      <a:avLst/>
                    </a:prstGeom>
                    <a:ln>
                      <a:noFill/>
                    </a:ln>
                    <a:effectLst/>
                  </pic:spPr>
                </pic:pic>
              </a:graphicData>
            </a:graphic>
          </wp:anchor>
        </w:drawing>
      </w:r>
      <w:r>
        <w:rPr>
          <w:rFonts w:hint="eastAsia" w:ascii="Times New Roman" w:hAnsi="Times New Roman" w:eastAsia="Adobe 黑体 Std R" w:cs="Times New Roman"/>
          <w:sz w:val="28"/>
          <w:szCs w:val="28"/>
        </w:rPr>
        <w:t>图6</w:t>
      </w:r>
      <w:r>
        <w:rPr>
          <w:rFonts w:ascii="Times New Roman" w:hAnsi="Times New Roman" w:eastAsia="Adobe 黑体 Std R" w:cs="Times New Roman"/>
          <w:sz w:val="28"/>
          <w:szCs w:val="28"/>
        </w:rPr>
        <w:t xml:space="preserve"> </w:t>
      </w:r>
      <w:r>
        <w:rPr>
          <w:rFonts w:hint="eastAsia" w:ascii="Times New Roman" w:hAnsi="Times New Roman" w:eastAsia="Adobe 黑体 Std R" w:cs="Times New Roman"/>
          <w:sz w:val="28"/>
          <w:szCs w:val="28"/>
        </w:rPr>
        <w:t>机场铺设防渗材料以及垃圾集中收集</w:t>
      </w:r>
    </w:p>
    <w:p w14:paraId="53E155F5">
      <w:pPr>
        <w:ind w:firstLine="640" w:firstLineChars="200"/>
        <w:rPr>
          <w:rFonts w:ascii="仿宋_GB2312" w:eastAsia="仿宋_GB2312"/>
          <w:sz w:val="32"/>
          <w:szCs w:val="32"/>
        </w:rPr>
      </w:pPr>
      <w:r>
        <w:rPr>
          <w:rFonts w:hint="eastAsia" w:ascii="仿宋_GB2312" w:eastAsia="仿宋_GB2312"/>
          <w:sz w:val="32"/>
          <w:szCs w:val="32"/>
        </w:rPr>
        <w:t>以在秦岭森林覆盖区的“南秦岭旬北地区金锑找矿靶区优选与评价”项目为例，该项目针对秦岭地形切割强烈、林木茂盛地区，施工作业临时用地受限、便道修筑成本高，环保政策要求高，选用便携式钻机开展钻探施工，无法修筑道路或修筑成本高、环境破坏严重难以修复，采用牲畜、爬犁或索道运输等方式，以减少地表工程破坏（图7），同时探索采用无人机吊运钻探设备和物资（见图</w:t>
      </w:r>
      <w:r>
        <w:rPr>
          <w:rFonts w:ascii="仿宋_GB2312" w:eastAsia="仿宋_GB2312"/>
          <w:sz w:val="32"/>
          <w:szCs w:val="32"/>
        </w:rPr>
        <w:t>8</w:t>
      </w:r>
      <w:r>
        <w:rPr>
          <w:rFonts w:hint="eastAsia" w:ascii="仿宋_GB2312" w:eastAsia="仿宋_GB2312"/>
          <w:sz w:val="32"/>
          <w:szCs w:val="32"/>
        </w:rPr>
        <w:t>），无道路修筑破坏，并结合机场场地受限情况实施“一基多孔”（见图</w:t>
      </w:r>
      <w:r>
        <w:rPr>
          <w:rFonts w:ascii="仿宋_GB2312" w:eastAsia="仿宋_GB2312"/>
          <w:sz w:val="32"/>
          <w:szCs w:val="32"/>
        </w:rPr>
        <w:t>9</w:t>
      </w:r>
      <w:r>
        <w:rPr>
          <w:rFonts w:hint="eastAsia" w:ascii="仿宋_GB2312" w:eastAsia="仿宋_GB2312"/>
          <w:sz w:val="32"/>
          <w:szCs w:val="32"/>
        </w:rPr>
        <w:t>），提升地质钻探工作效率，项目极大程度上减少了地表和植被损毁，取得了很好经济和环保效益。</w:t>
      </w:r>
    </w:p>
    <w:p w14:paraId="06AB7B10">
      <w:pPr>
        <w:spacing w:line="500" w:lineRule="exact"/>
        <w:jc w:val="center"/>
        <w:rPr>
          <w:rFonts w:ascii="Times New Roman" w:hAnsi="Times New Roman" w:eastAsia="Adobe 黑体 Std R" w:cs="Times New Roman"/>
          <w:sz w:val="28"/>
          <w:szCs w:val="28"/>
        </w:rPr>
      </w:pPr>
      <w:r>
        <w:rPr>
          <w:rFonts w:hint="eastAsia" w:ascii="Times New Roman" w:hAnsi="Times New Roman" w:eastAsia="Adobe 黑体 Std R" w:cs="Times New Roman"/>
          <w:bCs/>
          <w:sz w:val="28"/>
          <w:szCs w:val="28"/>
        </w:rPr>
        <w:t>图</w:t>
      </w:r>
      <w:r>
        <w:rPr>
          <w:rFonts w:ascii="Times New Roman" w:hAnsi="Times New Roman" w:eastAsia="Adobe 黑体 Std R" w:cs="Times New Roman"/>
          <w:bCs/>
          <w:sz w:val="28"/>
          <w:szCs w:val="28"/>
        </w:rPr>
        <w:drawing>
          <wp:anchor distT="0" distB="0" distL="114300" distR="114300" simplePos="0" relativeHeight="251671552" behindDoc="0" locked="0" layoutInCell="1" allowOverlap="1">
            <wp:simplePos x="0" y="0"/>
            <wp:positionH relativeFrom="column">
              <wp:posOffset>414020</wp:posOffset>
            </wp:positionH>
            <wp:positionV relativeFrom="paragraph">
              <wp:posOffset>2378075</wp:posOffset>
            </wp:positionV>
            <wp:extent cx="1386205" cy="2326005"/>
            <wp:effectExtent l="0" t="0" r="4445" b="0"/>
            <wp:wrapTopAndBottom/>
            <wp:docPr id="655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6" name="图片 15"/>
                    <pic:cNvPicPr>
                      <a:picLocks noChangeAspect="1"/>
                    </pic:cNvPicPr>
                  </pic:nvPicPr>
                  <pic:blipFill>
                    <a:blip r:embed="rId24" cstate="print">
                      <a:extLst>
                        <a:ext uri="{28A0092B-C50C-407E-A947-70E740481C1C}">
                          <a14:useLocalDpi xmlns:a14="http://schemas.microsoft.com/office/drawing/2010/main" val="0"/>
                        </a:ext>
                      </a:extLst>
                    </a:blip>
                    <a:srcRect l="46094" t="32066" r="31419" b="801"/>
                    <a:stretch>
                      <a:fillRect/>
                    </a:stretch>
                  </pic:blipFill>
                  <pic:spPr>
                    <a:xfrm>
                      <a:off x="0" y="0"/>
                      <a:ext cx="1386205" cy="2326005"/>
                    </a:xfrm>
                    <a:prstGeom prst="rect">
                      <a:avLst/>
                    </a:prstGeom>
                    <a:noFill/>
                    <a:ln>
                      <a:noFill/>
                    </a:ln>
                  </pic:spPr>
                </pic:pic>
              </a:graphicData>
            </a:graphic>
          </wp:anchor>
        </w:drawing>
      </w:r>
      <w:r>
        <w:rPr>
          <w:rFonts w:ascii="Times New Roman" w:hAnsi="Times New Roman" w:eastAsia="Adobe 黑体 Std R" w:cs="Times New Roman"/>
          <w:bCs/>
          <w:sz w:val="28"/>
          <w:szCs w:val="28"/>
        </w:rPr>
        <w:drawing>
          <wp:anchor distT="0" distB="0" distL="114300" distR="114300" simplePos="0" relativeHeight="251672576" behindDoc="0" locked="0" layoutInCell="1" allowOverlap="1">
            <wp:simplePos x="0" y="0"/>
            <wp:positionH relativeFrom="column">
              <wp:posOffset>1869440</wp:posOffset>
            </wp:positionH>
            <wp:positionV relativeFrom="paragraph">
              <wp:posOffset>2378075</wp:posOffset>
            </wp:positionV>
            <wp:extent cx="1163955" cy="2326005"/>
            <wp:effectExtent l="0" t="0" r="0" b="0"/>
            <wp:wrapTopAndBottom/>
            <wp:docPr id="655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7" name="图片 16"/>
                    <pic:cNvPicPr>
                      <a:picLocks noChangeAspect="1"/>
                    </pic:cNvPicPr>
                  </pic:nvPicPr>
                  <pic:blipFill>
                    <a:blip r:embed="rId25" cstate="print">
                      <a:extLst>
                        <a:ext uri="{28A0092B-C50C-407E-A947-70E740481C1C}">
                          <a14:useLocalDpi xmlns:a14="http://schemas.microsoft.com/office/drawing/2010/main" val="0"/>
                        </a:ext>
                      </a:extLst>
                    </a:blip>
                    <a:srcRect l="22569" t="1192" r="11742" b="10670"/>
                    <a:stretch>
                      <a:fillRect/>
                    </a:stretch>
                  </pic:blipFill>
                  <pic:spPr>
                    <a:xfrm>
                      <a:off x="0" y="0"/>
                      <a:ext cx="1163955" cy="2326005"/>
                    </a:xfrm>
                    <a:prstGeom prst="rect">
                      <a:avLst/>
                    </a:prstGeom>
                    <a:noFill/>
                    <a:ln>
                      <a:noFill/>
                    </a:ln>
                  </pic:spPr>
                </pic:pic>
              </a:graphicData>
            </a:graphic>
          </wp:anchor>
        </w:drawing>
      </w:r>
      <w:r>
        <w:rPr>
          <w:rFonts w:ascii="Times New Roman" w:hAnsi="Times New Roman" w:eastAsia="Adobe 黑体 Std R" w:cs="Times New Roman"/>
          <w:bCs/>
          <w:sz w:val="28"/>
          <w:szCs w:val="28"/>
        </w:rPr>
        <w:drawing>
          <wp:anchor distT="0" distB="0" distL="114300" distR="114300" simplePos="0" relativeHeight="251673600" behindDoc="0" locked="0" layoutInCell="1" allowOverlap="1">
            <wp:simplePos x="0" y="0"/>
            <wp:positionH relativeFrom="column">
              <wp:posOffset>3108960</wp:posOffset>
            </wp:positionH>
            <wp:positionV relativeFrom="paragraph">
              <wp:posOffset>2370455</wp:posOffset>
            </wp:positionV>
            <wp:extent cx="1496695" cy="2326005"/>
            <wp:effectExtent l="0" t="0" r="8255" b="0"/>
            <wp:wrapTopAndBottom/>
            <wp:docPr id="655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 name="图片 2"/>
                    <pic:cNvPicPr>
                      <a:picLocks noChangeAspect="1"/>
                    </pic:cNvPicPr>
                  </pic:nvPicPr>
                  <pic:blipFill>
                    <a:blip r:embed="rId26">
                      <a:extLst>
                        <a:ext uri="{28A0092B-C50C-407E-A947-70E740481C1C}">
                          <a14:useLocalDpi xmlns:a14="http://schemas.microsoft.com/office/drawing/2010/main" val="0"/>
                        </a:ext>
                      </a:extLst>
                    </a:blip>
                    <a:srcRect l="17683" t="7448" r="22639" b="29681"/>
                    <a:stretch>
                      <a:fillRect/>
                    </a:stretch>
                  </pic:blipFill>
                  <pic:spPr>
                    <a:xfrm>
                      <a:off x="0" y="0"/>
                      <a:ext cx="1496695" cy="2326005"/>
                    </a:xfrm>
                    <a:prstGeom prst="rect">
                      <a:avLst/>
                    </a:prstGeom>
                    <a:noFill/>
                    <a:ln>
                      <a:noFill/>
                    </a:ln>
                  </pic:spPr>
                </pic:pic>
              </a:graphicData>
            </a:graphic>
          </wp:anchor>
        </w:drawing>
      </w:r>
      <w:r>
        <w:rPr>
          <w:rFonts w:ascii="Times New Roman" w:hAnsi="Times New Roman" w:eastAsia="Adobe 黑体 Std R" w:cs="Times New Roman"/>
          <w:bCs/>
          <w:sz w:val="28"/>
          <w:szCs w:val="28"/>
        </w:rPr>
        <w:drawing>
          <wp:anchor distT="0" distB="0" distL="114300" distR="114300" simplePos="0" relativeHeight="251674624" behindDoc="0" locked="0" layoutInCell="1" allowOverlap="1">
            <wp:simplePos x="0" y="0"/>
            <wp:positionH relativeFrom="column">
              <wp:posOffset>45720</wp:posOffset>
            </wp:positionH>
            <wp:positionV relativeFrom="paragraph">
              <wp:posOffset>15240</wp:posOffset>
            </wp:positionV>
            <wp:extent cx="5274310" cy="1986915"/>
            <wp:effectExtent l="0" t="0" r="254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274310" cy="1986915"/>
                    </a:xfrm>
                    <a:prstGeom prst="rect">
                      <a:avLst/>
                    </a:prstGeom>
                  </pic:spPr>
                </pic:pic>
              </a:graphicData>
            </a:graphic>
          </wp:anchor>
        </w:drawing>
      </w:r>
      <w:r>
        <w:rPr>
          <w:rFonts w:hint="eastAsia" w:ascii="Times New Roman" w:hAnsi="Times New Roman" w:eastAsia="Adobe 黑体 Std R" w:cs="Times New Roman"/>
          <w:bCs/>
          <w:sz w:val="28"/>
          <w:szCs w:val="28"/>
        </w:rPr>
        <w:t>7</w:t>
      </w:r>
      <w:r>
        <w:rPr>
          <w:rFonts w:ascii="Times New Roman" w:hAnsi="Times New Roman" w:eastAsia="Adobe 黑体 Std R" w:cs="Times New Roman"/>
          <w:bCs/>
          <w:sz w:val="28"/>
          <w:szCs w:val="28"/>
        </w:rPr>
        <w:t xml:space="preserve"> </w:t>
      </w:r>
      <w:r>
        <w:rPr>
          <w:rFonts w:hint="eastAsia" w:ascii="Times New Roman" w:hAnsi="Times New Roman" w:eastAsia="Adobe 黑体 Std R" w:cs="Times New Roman"/>
          <w:bCs/>
          <w:sz w:val="28"/>
          <w:szCs w:val="28"/>
        </w:rPr>
        <w:t>采用牲畜、爬犁或索道运输方式</w:t>
      </w:r>
    </w:p>
    <w:p w14:paraId="7B9CD8B2">
      <w:pPr>
        <w:spacing w:line="500" w:lineRule="exact"/>
        <w:jc w:val="center"/>
        <w:rPr>
          <w:rFonts w:ascii="Times New Roman" w:hAnsi="Times New Roman" w:eastAsia="Adobe 黑体 Std R" w:cs="Times New Roman"/>
          <w:bCs/>
          <w:sz w:val="28"/>
          <w:szCs w:val="28"/>
        </w:rPr>
      </w:pPr>
      <w:r>
        <w:rPr>
          <w:rFonts w:hint="eastAsia" w:ascii="Times New Roman" w:hAnsi="Times New Roman" w:eastAsia="Adobe 黑体 Std R" w:cs="Times New Roman"/>
          <w:sz w:val="28"/>
          <w:szCs w:val="28"/>
        </w:rPr>
        <w:t>图</w:t>
      </w:r>
      <w:r>
        <w:rPr>
          <w:rFonts w:ascii="Times New Roman" w:hAnsi="Times New Roman" w:eastAsia="Adobe 黑体 Std R" w:cs="Times New Roman"/>
          <w:sz w:val="28"/>
          <w:szCs w:val="28"/>
        </w:rPr>
        <w:t xml:space="preserve">8 </w:t>
      </w:r>
      <w:r>
        <w:rPr>
          <w:rFonts w:hint="eastAsia" w:ascii="Times New Roman" w:hAnsi="Times New Roman" w:eastAsia="Adobe 黑体 Std R" w:cs="Times New Roman"/>
          <w:bCs/>
          <w:sz w:val="28"/>
          <w:szCs w:val="28"/>
        </w:rPr>
        <w:t>采用无人机吊运搬迁钻探设备和物资</w:t>
      </w:r>
    </w:p>
    <w:p w14:paraId="4B32143B">
      <w:pPr>
        <w:rPr>
          <w:rFonts w:ascii="仿宋_GB2312" w:eastAsia="仿宋_GB2312"/>
          <w:sz w:val="32"/>
          <w:szCs w:val="32"/>
        </w:rPr>
      </w:pPr>
    </w:p>
    <w:p w14:paraId="5B3F071B">
      <w:pPr>
        <w:rPr>
          <w:rFonts w:ascii="仿宋_GB2312" w:eastAsia="仿宋_GB2312"/>
          <w:sz w:val="32"/>
          <w:szCs w:val="32"/>
        </w:rPr>
      </w:pPr>
    </w:p>
    <w:p w14:paraId="1C007153">
      <w:pPr>
        <w:rPr>
          <w:rFonts w:ascii="仿宋_GB2312" w:eastAsia="仿宋_GB2312"/>
          <w:sz w:val="32"/>
          <w:szCs w:val="32"/>
        </w:rPr>
      </w:pPr>
    </w:p>
    <w:p w14:paraId="580840D0">
      <w:pPr>
        <w:spacing w:line="500" w:lineRule="exact"/>
        <w:jc w:val="center"/>
        <w:rPr>
          <w:rFonts w:ascii="Times New Roman" w:hAnsi="Times New Roman" w:eastAsia="Adobe 黑体 Std R" w:cs="Times New Roman"/>
          <w:bCs/>
          <w:sz w:val="28"/>
          <w:szCs w:val="28"/>
        </w:rPr>
      </w:pPr>
      <w:bookmarkStart w:id="16" w:name="OLE_LINK16"/>
      <w:bookmarkStart w:id="17" w:name="OLE_LINK17"/>
      <w:r>
        <w:rPr>
          <w:rFonts w:ascii="仿宋_GB2312" w:eastAsia="仿宋_GB2312"/>
          <w:sz w:val="32"/>
          <w:szCs w:val="32"/>
        </w:rPr>
        <w:drawing>
          <wp:anchor distT="0" distB="0" distL="114300" distR="114300" simplePos="0" relativeHeight="251676672" behindDoc="0" locked="0" layoutInCell="1" allowOverlap="1">
            <wp:simplePos x="0" y="0"/>
            <wp:positionH relativeFrom="column">
              <wp:posOffset>3520440</wp:posOffset>
            </wp:positionH>
            <wp:positionV relativeFrom="paragraph">
              <wp:posOffset>68580</wp:posOffset>
            </wp:positionV>
            <wp:extent cx="1791335" cy="2359660"/>
            <wp:effectExtent l="0" t="0" r="0" b="2540"/>
            <wp:wrapTopAndBottom/>
            <wp:docPr id="30" name="图片 1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descr="未标题-1"/>
                    <pic:cNvPicPr>
                      <a:picLocks noChangeAspect="1" noChangeArrowheads="1"/>
                    </pic:cNvPicPr>
                  </pic:nvPicPr>
                  <pic:blipFill>
                    <a:blip r:embed="rId28"/>
                    <a:srcRect l="47746" r="1844"/>
                    <a:stretch>
                      <a:fillRect/>
                    </a:stretch>
                  </pic:blipFill>
                  <pic:spPr>
                    <a:xfrm>
                      <a:off x="0" y="0"/>
                      <a:ext cx="1791335" cy="2359660"/>
                    </a:xfrm>
                    <a:prstGeom prst="rect">
                      <a:avLst/>
                    </a:prstGeom>
                    <a:ln>
                      <a:noFill/>
                    </a:ln>
                    <a:effectLst/>
                  </pic:spPr>
                </pic:pic>
              </a:graphicData>
            </a:graphic>
          </wp:anchor>
        </w:drawing>
      </w:r>
      <w:r>
        <w:rPr>
          <w:rFonts w:ascii="仿宋_GB2312" w:eastAsia="仿宋_GB2312"/>
          <w:sz w:val="32"/>
          <w:szCs w:val="32"/>
        </w:rPr>
        <w:drawing>
          <wp:anchor distT="0" distB="0" distL="114300" distR="114300" simplePos="0" relativeHeight="251675648" behindDoc="0" locked="0" layoutInCell="1" allowOverlap="1">
            <wp:simplePos x="0" y="0"/>
            <wp:positionH relativeFrom="column">
              <wp:posOffset>-129540</wp:posOffset>
            </wp:positionH>
            <wp:positionV relativeFrom="paragraph">
              <wp:posOffset>64770</wp:posOffset>
            </wp:positionV>
            <wp:extent cx="1660525" cy="2359660"/>
            <wp:effectExtent l="0" t="0" r="0" b="2540"/>
            <wp:wrapTopAndBottom/>
            <wp:docPr id="28" name="图片 27" descr="IMG_20210520_08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IMG_20210520_085052.jpg"/>
                    <pic:cNvPicPr>
                      <a:picLocks noChangeAspect="1"/>
                    </pic:cNvPicPr>
                  </pic:nvPicPr>
                  <pic:blipFill>
                    <a:blip r:embed="rId29"/>
                    <a:srcRect l="2469" r="3704"/>
                    <a:stretch>
                      <a:fillRect/>
                    </a:stretch>
                  </pic:blipFill>
                  <pic:spPr>
                    <a:xfrm>
                      <a:off x="0" y="0"/>
                      <a:ext cx="1660525" cy="2359660"/>
                    </a:xfrm>
                    <a:prstGeom prst="rect">
                      <a:avLst/>
                    </a:prstGeom>
                    <a:ln>
                      <a:noFill/>
                    </a:ln>
                    <a:effectLst/>
                  </pic:spPr>
                </pic:pic>
              </a:graphicData>
            </a:graphic>
          </wp:anchor>
        </w:drawing>
      </w:r>
      <w:r>
        <w:rPr>
          <w:rFonts w:ascii="仿宋_GB2312" w:eastAsia="仿宋_GB2312"/>
          <w:sz w:val="32"/>
          <w:szCs w:val="32"/>
        </w:rPr>
        <w:drawing>
          <wp:anchor distT="0" distB="0" distL="114300" distR="114300" simplePos="0" relativeHeight="251677696" behindDoc="0" locked="0" layoutInCell="1" allowOverlap="1">
            <wp:simplePos x="0" y="0"/>
            <wp:positionH relativeFrom="column">
              <wp:posOffset>1676400</wp:posOffset>
            </wp:positionH>
            <wp:positionV relativeFrom="paragraph">
              <wp:posOffset>67945</wp:posOffset>
            </wp:positionV>
            <wp:extent cx="1698625" cy="2356485"/>
            <wp:effectExtent l="0" t="0" r="0" b="6350"/>
            <wp:wrapTopAndBottom/>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30"/>
                    <a:srcRect l="13848" r="32098"/>
                    <a:stretch>
                      <a:fillRect/>
                    </a:stretch>
                  </pic:blipFill>
                  <pic:spPr>
                    <a:xfrm>
                      <a:off x="0" y="0"/>
                      <a:ext cx="1698868" cy="2356389"/>
                    </a:xfrm>
                    <a:prstGeom prst="rect">
                      <a:avLst/>
                    </a:prstGeom>
                    <a:ln>
                      <a:noFill/>
                    </a:ln>
                    <a:effectLst/>
                  </pic:spPr>
                </pic:pic>
              </a:graphicData>
            </a:graphic>
          </wp:anchor>
        </w:drawing>
      </w:r>
      <w:r>
        <w:rPr>
          <w:rFonts w:hint="eastAsia" w:ascii="Times New Roman" w:hAnsi="Times New Roman" w:eastAsia="Adobe 黑体 Std R" w:cs="Times New Roman"/>
          <w:bCs/>
          <w:sz w:val="28"/>
          <w:szCs w:val="28"/>
        </w:rPr>
        <w:t>图</w:t>
      </w:r>
      <w:r>
        <w:rPr>
          <w:rFonts w:ascii="Times New Roman" w:hAnsi="Times New Roman" w:eastAsia="Adobe 黑体 Std R" w:cs="Times New Roman"/>
          <w:bCs/>
          <w:sz w:val="28"/>
          <w:szCs w:val="28"/>
        </w:rPr>
        <w:t xml:space="preserve">9 </w:t>
      </w:r>
      <w:r>
        <w:rPr>
          <w:rFonts w:hint="eastAsia" w:ascii="Times New Roman" w:hAnsi="Times New Roman" w:eastAsia="Adobe 黑体 Std R" w:cs="Times New Roman"/>
          <w:bCs/>
          <w:sz w:val="28"/>
          <w:szCs w:val="28"/>
        </w:rPr>
        <w:t>钻探施工场地受限实施“一基两孔”</w:t>
      </w:r>
    </w:p>
    <w:bookmarkEnd w:id="16"/>
    <w:bookmarkEnd w:id="17"/>
    <w:p w14:paraId="4FAB463A">
      <w:pPr>
        <w:ind w:firstLine="640" w:firstLineChars="200"/>
        <w:rPr>
          <w:rFonts w:ascii="仿宋_GB2312" w:eastAsia="仿宋_GB2312"/>
          <w:sz w:val="32"/>
          <w:szCs w:val="32"/>
        </w:rPr>
      </w:pPr>
      <w:r>
        <w:rPr>
          <w:rFonts w:hint="eastAsia" w:ascii="仿宋_GB2312" w:eastAsia="仿宋_GB2312"/>
          <w:sz w:val="32"/>
          <w:szCs w:val="32"/>
        </w:rPr>
        <w:t>工后环境恢复与治理，坚持“人工修复为辅、自然恢复为主”的原则，施工结束后开展现场清理与地形地貌恢复（见图1</w:t>
      </w:r>
      <w:r>
        <w:rPr>
          <w:rFonts w:ascii="仿宋_GB2312" w:eastAsia="仿宋_GB2312"/>
          <w:sz w:val="32"/>
          <w:szCs w:val="32"/>
        </w:rPr>
        <w:t>0</w:t>
      </w:r>
      <w:r>
        <w:rPr>
          <w:rFonts w:hint="eastAsia" w:ascii="仿宋_GB2312" w:eastAsia="仿宋_GB2312"/>
          <w:sz w:val="32"/>
          <w:szCs w:val="32"/>
        </w:rPr>
        <w:t>）。复垦复绿坚持“宜林则林，宜草则草，宜耕则耕、宜荒则荒”的原则，同时做好环境恢复治理工程的维护管理。</w:t>
      </w:r>
    </w:p>
    <w:p w14:paraId="78B1F0AA">
      <w:pPr>
        <w:rPr>
          <w:rFonts w:ascii="仿宋_GB2312" w:eastAsia="仿宋_GB2312"/>
          <w:sz w:val="32"/>
          <w:szCs w:val="32"/>
        </w:rPr>
      </w:pPr>
      <w:r>
        <w:rPr>
          <w:rFonts w:ascii="仿宋_GB2312" w:eastAsia="仿宋_GB2312"/>
          <w:sz w:val="32"/>
          <w:szCs w:val="32"/>
        </w:rPr>
        <w:drawing>
          <wp:inline distT="0" distB="0" distL="0" distR="0">
            <wp:extent cx="5274310" cy="1748790"/>
            <wp:effectExtent l="0" t="0" r="254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4310" cy="1748790"/>
                    </a:xfrm>
                    <a:prstGeom prst="rect">
                      <a:avLst/>
                    </a:prstGeom>
                  </pic:spPr>
                </pic:pic>
              </a:graphicData>
            </a:graphic>
          </wp:inline>
        </w:drawing>
      </w:r>
    </w:p>
    <w:p w14:paraId="5D6AA28A">
      <w:pPr>
        <w:ind w:firstLine="280" w:firstLineChars="100"/>
        <w:rPr>
          <w:rFonts w:ascii="Times New Roman" w:hAnsi="Times New Roman" w:eastAsia="仿宋_GB2312" w:cs="Times New Roman"/>
          <w:sz w:val="28"/>
          <w:szCs w:val="28"/>
        </w:rPr>
      </w:pPr>
      <w:r>
        <w:rPr>
          <w:rFonts w:ascii="Times New Roman" w:hAnsi="Times New Roman" w:eastAsia="仿宋_GB2312" w:cs="Times New Roman"/>
          <w:sz w:val="28"/>
          <w:szCs w:val="28"/>
        </w:rPr>
        <w:t>（a）</w:t>
      </w:r>
      <w:r>
        <w:rPr>
          <w:rFonts w:hint="eastAsia" w:ascii="Times New Roman" w:hAnsi="Times New Roman" w:eastAsia="仿宋_GB2312" w:cs="Times New Roman"/>
          <w:sz w:val="28"/>
          <w:szCs w:val="28"/>
        </w:rPr>
        <w:t>人工恢复地形地貌</w:t>
      </w:r>
      <w:r>
        <w:rPr>
          <w:rFonts w:ascii="Times New Roman" w:hAnsi="Times New Roman" w:eastAsia="仿宋_GB2312" w:cs="Times New Roman"/>
          <w:sz w:val="28"/>
          <w:szCs w:val="28"/>
        </w:rPr>
        <w:t xml:space="preserve">      （b）</w:t>
      </w:r>
      <w:r>
        <w:rPr>
          <w:rFonts w:hint="eastAsia" w:ascii="Times New Roman" w:hAnsi="Times New Roman" w:eastAsia="仿宋_GB2312" w:cs="Times New Roman"/>
          <w:sz w:val="28"/>
          <w:szCs w:val="28"/>
        </w:rPr>
        <w:t>运输便道保留自然恢复</w:t>
      </w:r>
    </w:p>
    <w:p w14:paraId="5EEA80D7">
      <w:pP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drawing>
          <wp:inline distT="0" distB="0" distL="0" distR="0">
            <wp:extent cx="5274310" cy="175514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1755140"/>
                    </a:xfrm>
                    <a:prstGeom prst="rect">
                      <a:avLst/>
                    </a:prstGeom>
                  </pic:spPr>
                </pic:pic>
              </a:graphicData>
            </a:graphic>
          </wp:inline>
        </w:drawing>
      </w:r>
    </w:p>
    <w:p w14:paraId="655DA9D8">
      <w:pPr>
        <w:jc w:val="cente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c</w:t>
      </w:r>
      <w:r>
        <w:rPr>
          <w:rFonts w:hint="eastAsia" w:ascii="Times New Roman" w:hAnsi="Times New Roman" w:eastAsia="仿宋_GB2312" w:cs="Times New Roman"/>
          <w:sz w:val="28"/>
          <w:szCs w:val="28"/>
        </w:rPr>
        <w:t>）林地复绿前后对比</w:t>
      </w:r>
    </w:p>
    <w:p w14:paraId="5549B954">
      <w:pPr>
        <w:jc w:val="cente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drawing>
          <wp:inline distT="0" distB="0" distL="0" distR="0">
            <wp:extent cx="5120640" cy="1923415"/>
            <wp:effectExtent l="0" t="0" r="381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125949" cy="1925471"/>
                    </a:xfrm>
                    <a:prstGeom prst="rect">
                      <a:avLst/>
                    </a:prstGeom>
                  </pic:spPr>
                </pic:pic>
              </a:graphicData>
            </a:graphic>
          </wp:inline>
        </w:drawing>
      </w:r>
    </w:p>
    <w:p w14:paraId="0857C102">
      <w:pPr>
        <w:ind w:firstLine="280" w:firstLineChars="100"/>
        <w:jc w:val="cente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（d）耕地复垦前后对比</w:t>
      </w:r>
    </w:p>
    <w:p w14:paraId="29941603">
      <w:pP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drawing>
          <wp:inline distT="0" distB="0" distL="0" distR="0">
            <wp:extent cx="5274310" cy="1332865"/>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1332865"/>
                    </a:xfrm>
                    <a:prstGeom prst="rect">
                      <a:avLst/>
                    </a:prstGeom>
                  </pic:spPr>
                </pic:pic>
              </a:graphicData>
            </a:graphic>
          </wp:inline>
        </w:drawing>
      </w:r>
    </w:p>
    <w:p w14:paraId="311D31FB">
      <w:pPr>
        <w:ind w:firstLine="280" w:firstLineChars="100"/>
        <w:jc w:val="center"/>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（e）草地复绿前后对比</w:t>
      </w:r>
    </w:p>
    <w:p w14:paraId="48132933">
      <w:pPr>
        <w:spacing w:line="500" w:lineRule="exact"/>
        <w:jc w:val="center"/>
        <w:rPr>
          <w:rFonts w:ascii="Times New Roman" w:hAnsi="Times New Roman" w:eastAsia="Adobe 黑体 Std R" w:cs="Times New Roman"/>
          <w:bCs/>
          <w:sz w:val="28"/>
          <w:szCs w:val="28"/>
        </w:rPr>
      </w:pPr>
      <w:r>
        <w:rPr>
          <w:rFonts w:hint="eastAsia" w:ascii="Times New Roman" w:hAnsi="Times New Roman" w:eastAsia="Adobe 黑体 Std R" w:cs="Times New Roman"/>
          <w:bCs/>
          <w:sz w:val="28"/>
          <w:szCs w:val="28"/>
        </w:rPr>
        <w:t>图</w:t>
      </w:r>
      <w:r>
        <w:rPr>
          <w:rFonts w:ascii="Times New Roman" w:hAnsi="Times New Roman" w:eastAsia="Adobe 黑体 Std R" w:cs="Times New Roman"/>
          <w:bCs/>
          <w:sz w:val="28"/>
          <w:szCs w:val="28"/>
        </w:rPr>
        <w:t xml:space="preserve">10 </w:t>
      </w:r>
      <w:r>
        <w:rPr>
          <w:rFonts w:hint="eastAsia" w:ascii="Times New Roman" w:hAnsi="Times New Roman" w:eastAsia="Adobe 黑体 Std R" w:cs="Times New Roman"/>
          <w:bCs/>
          <w:sz w:val="28"/>
          <w:szCs w:val="28"/>
        </w:rPr>
        <w:t>工后环境恢复治理</w:t>
      </w:r>
    </w:p>
    <w:p w14:paraId="22205A27">
      <w:pPr>
        <w:ind w:firstLine="640" w:firstLineChars="200"/>
        <w:rPr>
          <w:rFonts w:ascii="仿宋_GB2312" w:eastAsia="仿宋_GB2312"/>
          <w:sz w:val="32"/>
          <w:szCs w:val="32"/>
        </w:rPr>
      </w:pPr>
      <w:r>
        <w:rPr>
          <w:rFonts w:hint="eastAsia" w:ascii="仿宋_GB2312" w:eastAsia="仿宋_GB2312"/>
          <w:sz w:val="32"/>
          <w:szCs w:val="32"/>
        </w:rPr>
        <w:t>绿色钻探保障措施，一是树立绿色勘查工作理念，做好宣传获得公众支持，对内开展绿色勘查工作培训，对外做好当地公众宣传；二是科学制定相关管理规定和保障措施，制定绿色勘查工作制度，健全钻探机台现场管理制度，为绿色钻探提供遵循（见图1</w:t>
      </w:r>
      <w:r>
        <w:rPr>
          <w:rFonts w:ascii="仿宋_GB2312" w:eastAsia="仿宋_GB2312"/>
          <w:sz w:val="32"/>
          <w:szCs w:val="32"/>
        </w:rPr>
        <w:t>1</w:t>
      </w:r>
      <w:r>
        <w:rPr>
          <w:rFonts w:hint="eastAsia" w:ascii="仿宋_GB2312" w:eastAsia="仿宋_GB2312"/>
          <w:sz w:val="32"/>
          <w:szCs w:val="32"/>
        </w:rPr>
        <w:t>），钻探工程前做好环境影响报告和复垦复绿方案（勘查项目，见图</w:t>
      </w:r>
      <w:r>
        <w:rPr>
          <w:rFonts w:ascii="仿宋_GB2312" w:eastAsia="仿宋_GB2312"/>
          <w:sz w:val="32"/>
          <w:szCs w:val="32"/>
        </w:rPr>
        <w:t>1</w:t>
      </w:r>
      <w:r>
        <w:rPr>
          <w:rFonts w:hint="eastAsia" w:ascii="仿宋_GB2312" w:eastAsia="仿宋_GB2312"/>
          <w:sz w:val="32"/>
          <w:szCs w:val="32"/>
        </w:rPr>
        <w:t>2），；三是探索优化管理模式和绩效目标，保障绿色勘查工作有效落地，实行项目-机台-班组管理模式，从业人员签订绿色地质钻探施工承诺书，把绿色钻探工作绩效目标纳入机台年终考评条件之一，机台负责干部、机长及班组人员绩效考核结果将直接与机台的考评结果挂钩，有力保障了绿色勘查工作有效落地。</w:t>
      </w:r>
    </w:p>
    <w:p w14:paraId="4E2F4EBA">
      <w:pPr>
        <w:jc w:val="center"/>
        <w:rPr>
          <w:rFonts w:ascii="仿宋_GB2312" w:eastAsia="仿宋_GB2312"/>
          <w:sz w:val="32"/>
          <w:szCs w:val="32"/>
        </w:rPr>
      </w:pPr>
      <w:r>
        <w:rPr>
          <w:rFonts w:ascii="仿宋_GB2312" w:eastAsia="仿宋_GB2312"/>
          <w:sz w:val="32"/>
          <w:szCs w:val="32"/>
        </w:rPr>
        <w:drawing>
          <wp:inline distT="0" distB="0" distL="0" distR="0">
            <wp:extent cx="2324100" cy="1623060"/>
            <wp:effectExtent l="0" t="0" r="0" b="0"/>
            <wp:docPr id="22" name="图片 21" descr="微信图片_2021052515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微信图片_20210525153537.jpg"/>
                    <pic:cNvPicPr>
                      <a:picLocks noChangeAspect="1"/>
                    </pic:cNvPicPr>
                  </pic:nvPicPr>
                  <pic:blipFill>
                    <a:blip r:embed="rId35"/>
                    <a:srcRect l="12500" r="15909"/>
                    <a:stretch>
                      <a:fillRect/>
                    </a:stretch>
                  </pic:blipFill>
                  <pic:spPr>
                    <a:xfrm>
                      <a:off x="0" y="0"/>
                      <a:ext cx="2344405" cy="1637564"/>
                    </a:xfrm>
                    <a:prstGeom prst="rect">
                      <a:avLst/>
                    </a:prstGeom>
                    <a:ln>
                      <a:noFill/>
                    </a:ln>
                    <a:effectLst/>
                  </pic:spPr>
                </pic:pic>
              </a:graphicData>
            </a:graphic>
          </wp:inline>
        </w:drawing>
      </w:r>
      <w:r>
        <w:rPr>
          <w:rFonts w:hint="eastAsia" w:ascii="仿宋_GB2312" w:eastAsia="仿宋_GB2312"/>
          <w:sz w:val="32"/>
          <w:szCs w:val="32"/>
        </w:rPr>
        <w:t xml:space="preserve"> </w:t>
      </w:r>
      <w:r>
        <w:rPr>
          <w:rFonts w:ascii="仿宋_GB2312" w:eastAsia="仿宋_GB2312"/>
          <w:sz w:val="32"/>
          <w:szCs w:val="32"/>
        </w:rPr>
        <w:drawing>
          <wp:inline distT="0" distB="0" distL="0" distR="0">
            <wp:extent cx="2160905" cy="1620520"/>
            <wp:effectExtent l="0" t="0" r="0" b="0"/>
            <wp:docPr id="15" name="图片 20" descr="微信图片_2021052517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descr="微信图片_20210525171902.jpg"/>
                    <pic:cNvPicPr>
                      <a:picLocks noChangeAspect="1"/>
                    </pic:cNvPicPr>
                  </pic:nvPicPr>
                  <pic:blipFill>
                    <a:blip r:embed="rId36"/>
                    <a:stretch>
                      <a:fillRect/>
                    </a:stretch>
                  </pic:blipFill>
                  <pic:spPr>
                    <a:xfrm>
                      <a:off x="0" y="0"/>
                      <a:ext cx="2182747" cy="1636569"/>
                    </a:xfrm>
                    <a:prstGeom prst="rect">
                      <a:avLst/>
                    </a:prstGeom>
                    <a:ln>
                      <a:noFill/>
                    </a:ln>
                    <a:effectLst/>
                  </pic:spPr>
                </pic:pic>
              </a:graphicData>
            </a:graphic>
          </wp:inline>
        </w:drawing>
      </w:r>
    </w:p>
    <w:p w14:paraId="07EC1721">
      <w:pPr>
        <w:spacing w:line="500" w:lineRule="exact"/>
        <w:jc w:val="center"/>
        <w:rPr>
          <w:rFonts w:ascii="Times New Roman" w:hAnsi="Times New Roman" w:eastAsia="Adobe 黑体 Std R" w:cs="Times New Roman"/>
          <w:bCs/>
          <w:sz w:val="28"/>
          <w:szCs w:val="28"/>
        </w:rPr>
      </w:pPr>
      <w:r>
        <w:rPr>
          <w:rFonts w:hint="eastAsia" w:ascii="Times New Roman" w:hAnsi="Times New Roman" w:eastAsia="Adobe 黑体 Std R" w:cs="Times New Roman"/>
          <w:bCs/>
          <w:sz w:val="28"/>
          <w:szCs w:val="28"/>
        </w:rPr>
        <w:t>图1</w:t>
      </w:r>
      <w:r>
        <w:rPr>
          <w:rFonts w:ascii="Times New Roman" w:hAnsi="Times New Roman" w:eastAsia="Adobe 黑体 Std R" w:cs="Times New Roman"/>
          <w:bCs/>
          <w:sz w:val="28"/>
          <w:szCs w:val="28"/>
        </w:rPr>
        <w:t xml:space="preserve">1 </w:t>
      </w:r>
      <w:r>
        <w:rPr>
          <w:rFonts w:hint="eastAsia" w:ascii="Times New Roman" w:hAnsi="Times New Roman" w:eastAsia="Adobe 黑体 Std R" w:cs="Times New Roman"/>
          <w:bCs/>
          <w:sz w:val="28"/>
          <w:szCs w:val="28"/>
        </w:rPr>
        <w:t>钻探机台现场管理制度</w:t>
      </w:r>
    </w:p>
    <w:p w14:paraId="07401380">
      <w:pPr>
        <w:rPr>
          <w:rFonts w:ascii="仿宋_GB2312" w:eastAsia="仿宋_GB2312"/>
          <w:sz w:val="32"/>
          <w:szCs w:val="32"/>
        </w:rPr>
      </w:pPr>
      <w:r>
        <w:rPr>
          <w:rFonts w:ascii="仿宋_GB2312" w:eastAsia="仿宋_GB2312"/>
          <w:sz w:val="32"/>
          <w:szCs w:val="32"/>
        </w:rPr>
        <w:drawing>
          <wp:inline distT="0" distB="0" distL="0" distR="0">
            <wp:extent cx="2512060" cy="3553460"/>
            <wp:effectExtent l="0" t="0" r="2540" b="8890"/>
            <wp:docPr id="14" name="图片 13" descr="环境影响评价报告-宁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环境影响评价报告-宁强1.tif"/>
                    <pic:cNvPicPr>
                      <a:picLocks noChangeAspect="1"/>
                    </pic:cNvPicPr>
                  </pic:nvPicPr>
                  <pic:blipFill>
                    <a:blip r:embed="rId37"/>
                    <a:stretch>
                      <a:fillRect/>
                    </a:stretch>
                  </pic:blipFill>
                  <pic:spPr>
                    <a:xfrm>
                      <a:off x="0" y="0"/>
                      <a:ext cx="2515384" cy="3558062"/>
                    </a:xfrm>
                    <a:prstGeom prst="rect">
                      <a:avLst/>
                    </a:prstGeom>
                    <a:ln>
                      <a:noFill/>
                    </a:ln>
                    <a:effectLst/>
                  </pic:spPr>
                </pic:pic>
              </a:graphicData>
            </a:graphic>
          </wp:inline>
        </w:drawing>
      </w:r>
      <w:r>
        <w:rPr>
          <w:rFonts w:hint="eastAsia" w:ascii="仿宋_GB2312" w:eastAsia="仿宋_GB2312"/>
          <w:sz w:val="32"/>
          <w:szCs w:val="32"/>
        </w:rPr>
        <w:t xml:space="preserve"> </w:t>
      </w:r>
      <w:r>
        <w:rPr>
          <w:rFonts w:ascii="仿宋_GB2312" w:eastAsia="仿宋_GB2312"/>
          <w:sz w:val="32"/>
          <w:szCs w:val="32"/>
        </w:rPr>
        <w:drawing>
          <wp:inline distT="0" distB="0" distL="0" distR="0">
            <wp:extent cx="2525395" cy="3572510"/>
            <wp:effectExtent l="0" t="0" r="8255" b="8890"/>
            <wp:docPr id="13" name="图片 15" descr="环境影响评价报告-鱼卡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descr="环境影响评价报告-鱼卡1.tif"/>
                    <pic:cNvPicPr>
                      <a:picLocks noChangeAspect="1"/>
                    </pic:cNvPicPr>
                  </pic:nvPicPr>
                  <pic:blipFill>
                    <a:blip r:embed="rId38"/>
                    <a:stretch>
                      <a:fillRect/>
                    </a:stretch>
                  </pic:blipFill>
                  <pic:spPr>
                    <a:xfrm>
                      <a:off x="0" y="0"/>
                      <a:ext cx="2530150" cy="3579128"/>
                    </a:xfrm>
                    <a:prstGeom prst="rect">
                      <a:avLst/>
                    </a:prstGeom>
                    <a:ln>
                      <a:noFill/>
                    </a:ln>
                    <a:effectLst/>
                  </pic:spPr>
                </pic:pic>
              </a:graphicData>
            </a:graphic>
          </wp:inline>
        </w:drawing>
      </w:r>
    </w:p>
    <w:p w14:paraId="4038C60E">
      <w:pPr>
        <w:spacing w:line="500" w:lineRule="exact"/>
        <w:jc w:val="center"/>
        <w:rPr>
          <w:rFonts w:ascii="Times New Roman" w:hAnsi="Times New Roman" w:eastAsia="Adobe 黑体 Std R" w:cs="Times New Roman"/>
          <w:bCs/>
          <w:sz w:val="28"/>
          <w:szCs w:val="28"/>
        </w:rPr>
      </w:pPr>
      <w:r>
        <w:rPr>
          <w:rFonts w:hint="eastAsia" w:ascii="Times New Roman" w:hAnsi="Times New Roman" w:eastAsia="Adobe 黑体 Std R" w:cs="Times New Roman"/>
          <w:bCs/>
          <w:sz w:val="28"/>
          <w:szCs w:val="28"/>
        </w:rPr>
        <w:t>图1</w:t>
      </w:r>
      <w:r>
        <w:rPr>
          <w:rFonts w:ascii="Times New Roman" w:hAnsi="Times New Roman" w:eastAsia="Adobe 黑体 Std R" w:cs="Times New Roman"/>
          <w:bCs/>
          <w:sz w:val="28"/>
          <w:szCs w:val="28"/>
        </w:rPr>
        <w:t xml:space="preserve">2 </w:t>
      </w:r>
      <w:r>
        <w:rPr>
          <w:rFonts w:hint="eastAsia" w:ascii="Times New Roman" w:hAnsi="Times New Roman" w:eastAsia="Adobe 黑体 Std R" w:cs="Times New Roman"/>
          <w:bCs/>
          <w:sz w:val="28"/>
          <w:szCs w:val="28"/>
        </w:rPr>
        <w:t>工程施工前做好环境影响报告</w:t>
      </w:r>
    </w:p>
    <w:p w14:paraId="5D12D589">
      <w:pPr>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四、知识产权说明</w:t>
      </w:r>
    </w:p>
    <w:p w14:paraId="3696C96E">
      <w:pPr>
        <w:ind w:firstLine="640" w:firstLineChars="200"/>
        <w:rPr>
          <w:rFonts w:ascii="仿宋_GB2312" w:eastAsia="仿宋_GB2312"/>
          <w:sz w:val="32"/>
          <w:szCs w:val="32"/>
        </w:rPr>
      </w:pPr>
      <w:r>
        <w:rPr>
          <w:rFonts w:hint="eastAsia" w:ascii="仿宋_GB2312" w:eastAsia="仿宋_GB2312"/>
          <w:sz w:val="32"/>
          <w:szCs w:val="32"/>
        </w:rPr>
        <w:t>无</w:t>
      </w:r>
    </w:p>
    <w:p w14:paraId="51BA4093">
      <w:pPr>
        <w:spacing w:line="500" w:lineRule="exact"/>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五、采标情况</w:t>
      </w:r>
    </w:p>
    <w:p w14:paraId="714C2968">
      <w:pPr>
        <w:ind w:firstLine="640" w:firstLineChars="200"/>
        <w:rPr>
          <w:rFonts w:ascii="仿宋_GB2312" w:eastAsia="仿宋_GB2312"/>
          <w:sz w:val="32"/>
          <w:szCs w:val="32"/>
        </w:rPr>
      </w:pPr>
      <w:r>
        <w:rPr>
          <w:rFonts w:ascii="仿宋_GB2312" w:eastAsia="仿宋_GB2312"/>
          <w:sz w:val="32"/>
          <w:szCs w:val="32"/>
        </w:rPr>
        <w:t>本次标准制定时检索查询了省内</w:t>
      </w:r>
      <w:r>
        <w:rPr>
          <w:rFonts w:hint="eastAsia" w:ascii="仿宋_GB2312" w:eastAsia="仿宋_GB2312"/>
          <w:sz w:val="32"/>
          <w:szCs w:val="32"/>
        </w:rPr>
        <w:t>关于绿色勘查方面的规范，仅有《煤矿绿色矿山建设规范》</w:t>
      </w:r>
      <w:r>
        <w:rPr>
          <w:rFonts w:ascii="仿宋_GB2312" w:eastAsia="仿宋_GB2312"/>
          <w:sz w:val="32"/>
          <w:szCs w:val="32"/>
        </w:rPr>
        <w:t>，目前未发现与本《规范》作用对象相同的省内规范。</w:t>
      </w:r>
      <w:r>
        <w:rPr>
          <w:rFonts w:hint="eastAsia" w:ascii="仿宋_GB2312" w:eastAsia="仿宋_GB2312"/>
          <w:sz w:val="32"/>
          <w:szCs w:val="32"/>
        </w:rPr>
        <w:t>本标准在制定的过程中未采用国际标准和国外先进标准。</w:t>
      </w:r>
    </w:p>
    <w:p w14:paraId="11DD6B1A">
      <w:pPr>
        <w:spacing w:line="500" w:lineRule="exact"/>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六、</w:t>
      </w:r>
      <w:r>
        <w:rPr>
          <w:rFonts w:ascii="Adobe 黑体 Std R" w:hAnsi="Adobe 黑体 Std R" w:eastAsia="Adobe 黑体 Std R"/>
          <w:sz w:val="32"/>
          <w:szCs w:val="32"/>
        </w:rPr>
        <w:t>重大意见分歧的处理</w:t>
      </w:r>
    </w:p>
    <w:p w14:paraId="766282B5">
      <w:pPr>
        <w:ind w:firstLine="640" w:firstLineChars="200"/>
        <w:rPr>
          <w:rFonts w:ascii="仿宋_GB2312" w:eastAsia="仿宋_GB2312"/>
          <w:sz w:val="32"/>
          <w:szCs w:val="32"/>
        </w:rPr>
      </w:pPr>
      <w:r>
        <w:rPr>
          <w:rFonts w:hint="eastAsia" w:ascii="仿宋_GB2312" w:eastAsia="仿宋_GB2312"/>
          <w:sz w:val="32"/>
          <w:szCs w:val="32"/>
        </w:rPr>
        <w:t>目前，</w:t>
      </w:r>
      <w:r>
        <w:rPr>
          <w:rFonts w:ascii="仿宋_GB2312" w:eastAsia="仿宋_GB2312"/>
          <w:sz w:val="32"/>
          <w:szCs w:val="32"/>
        </w:rPr>
        <w:t>本标准尚无重大意见分歧</w:t>
      </w:r>
      <w:r>
        <w:rPr>
          <w:rFonts w:hint="eastAsia" w:ascii="仿宋_GB2312" w:eastAsia="仿宋_GB2312"/>
          <w:sz w:val="32"/>
          <w:szCs w:val="32"/>
        </w:rPr>
        <w:t>。</w:t>
      </w:r>
    </w:p>
    <w:p w14:paraId="3C3D57C9">
      <w:pPr>
        <w:spacing w:line="500" w:lineRule="exact"/>
        <w:ind w:firstLine="640" w:firstLineChars="200"/>
        <w:rPr>
          <w:rFonts w:ascii="Adobe 黑体 Std R" w:hAnsi="Adobe 黑体 Std R" w:eastAsia="Adobe 黑体 Std R"/>
          <w:sz w:val="32"/>
          <w:szCs w:val="32"/>
        </w:rPr>
      </w:pPr>
      <w:r>
        <w:rPr>
          <w:rFonts w:hint="eastAsia" w:ascii="Adobe 黑体 Std R" w:hAnsi="Adobe 黑体 Std R" w:eastAsia="Adobe 黑体 Std R"/>
          <w:sz w:val="32"/>
          <w:szCs w:val="32"/>
        </w:rPr>
        <w:t>七、</w:t>
      </w:r>
      <w:r>
        <w:rPr>
          <w:rFonts w:ascii="Adobe 黑体 Std R" w:hAnsi="Adobe 黑体 Std R" w:eastAsia="Adobe 黑体 Std R"/>
          <w:sz w:val="32"/>
          <w:szCs w:val="32"/>
        </w:rPr>
        <w:t>其他应说明的事项</w:t>
      </w:r>
    </w:p>
    <w:p w14:paraId="185D8194">
      <w:pPr>
        <w:ind w:firstLine="640" w:firstLineChars="200"/>
        <w:rPr>
          <w:rFonts w:ascii="仿宋_GB2312" w:eastAsia="仿宋_GB2312"/>
          <w:sz w:val="32"/>
          <w:szCs w:val="32"/>
        </w:rPr>
      </w:pPr>
      <w:r>
        <w:rPr>
          <w:rFonts w:hint="eastAsia" w:ascii="仿宋_GB2312" w:eastAsia="仿宋_GB2312"/>
          <w:sz w:val="32"/>
          <w:szCs w:val="32"/>
        </w:rPr>
        <w:t>无</w:t>
      </w:r>
    </w:p>
    <w:sectPr>
      <w:footerReference r:id="rId4" w:type="default"/>
      <w:pgSz w:w="11906" w:h="16838"/>
      <w:pgMar w:top="1440" w:right="1800" w:bottom="1440" w:left="1800"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font>
  <w:font w:name="Adobe 黑体 Std R">
    <w:altName w:val="黑体"/>
    <w:panose1 w:val="020B0400000000000000"/>
    <w:charset w:val="86"/>
    <w:family w:val="swiss"/>
    <w:pitch w:val="default"/>
    <w:sig w:usb0="00000000" w:usb1="00000000" w:usb2="00000016" w:usb3="00000000" w:csb0="00060007"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74957853"/>
      <w:docPartObj>
        <w:docPartGallery w:val="AutoText"/>
      </w:docPartObj>
    </w:sdtPr>
    <w:sdtContent>
      <w:sdt>
        <w:sdtPr>
          <w:id w:val="1728636285"/>
          <w:docPartObj>
            <w:docPartGallery w:val="AutoText"/>
          </w:docPartObj>
        </w:sdtPr>
        <w:sdtContent>
          <w:p w14:paraId="490E0CBD">
            <w:pPr>
              <w:pStyle w:val="6"/>
              <w:jc w:val="center"/>
            </w:pPr>
            <w:r>
              <w:rPr>
                <w:lang w:val="zh-CN"/>
              </w:rPr>
              <w:t xml:space="preserve"> </w:t>
            </w:r>
          </w:p>
        </w:sdtContent>
      </w:sdt>
    </w:sdtContent>
  </w:sdt>
  <w:p w14:paraId="57D3B8B2">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93374048"/>
      <w:docPartObj>
        <w:docPartGallery w:val="AutoText"/>
      </w:docPartObj>
    </w:sdtPr>
    <w:sdtEndPr>
      <w:rPr>
        <w:rFonts w:ascii="Times New Roman" w:hAnsi="Times New Roman" w:cs="Times New Roman"/>
      </w:rPr>
    </w:sdtEndPr>
    <w:sdtContent>
      <w:p w14:paraId="1FAE05B5">
        <w:pPr>
          <w:pStyle w:val="6"/>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w:t>
        </w:r>
        <w:r>
          <w:rPr>
            <w:rFonts w:ascii="Times New Roman" w:hAnsi="Times New Roman" w:cs="Times New Roman"/>
          </w:rPr>
          <w:t xml:space="preserve"> 18 -</w:t>
        </w:r>
        <w:r>
          <w:rPr>
            <w:rFonts w:ascii="Times New Roman" w:hAnsi="Times New Roman" w:cs="Times New Roman"/>
          </w:rPr>
          <w:fldChar w:fldCharType="end"/>
        </w:r>
      </w:p>
    </w:sdtContent>
  </w:sdt>
  <w:p w14:paraId="263F8584">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6A227AF"/>
    <w:multiLevelType w:val="singleLevel"/>
    <w:tmpl w:val="56A227AF"/>
    <w:lvl w:ilvl="0" w:tentative="0">
      <w:start w:val="1"/>
      <w:numFmt w:val="chineseCounting"/>
      <w:pStyle w:val="2"/>
      <w:suff w:val="nothing"/>
      <w:lvlText w:val="（%1）"/>
      <w:lvlJc w:val="left"/>
      <w:pPr>
        <w:ind w:left="0" w:firstLine="397"/>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958"/>
    <w:rsid w:val="000005FF"/>
    <w:rsid w:val="000020AC"/>
    <w:rsid w:val="0000656D"/>
    <w:rsid w:val="000168CB"/>
    <w:rsid w:val="00027E20"/>
    <w:rsid w:val="00031222"/>
    <w:rsid w:val="000361FC"/>
    <w:rsid w:val="00046A82"/>
    <w:rsid w:val="00054DA7"/>
    <w:rsid w:val="00072886"/>
    <w:rsid w:val="000907F2"/>
    <w:rsid w:val="000912A6"/>
    <w:rsid w:val="000E04DC"/>
    <w:rsid w:val="00102009"/>
    <w:rsid w:val="00103F24"/>
    <w:rsid w:val="0011309F"/>
    <w:rsid w:val="00145E03"/>
    <w:rsid w:val="00152ADA"/>
    <w:rsid w:val="0016069C"/>
    <w:rsid w:val="00187120"/>
    <w:rsid w:val="001A54CC"/>
    <w:rsid w:val="001E3319"/>
    <w:rsid w:val="001E3B57"/>
    <w:rsid w:val="001E453E"/>
    <w:rsid w:val="001F068E"/>
    <w:rsid w:val="002A274A"/>
    <w:rsid w:val="002A46A8"/>
    <w:rsid w:val="002B5E11"/>
    <w:rsid w:val="002B7CE6"/>
    <w:rsid w:val="002C0158"/>
    <w:rsid w:val="002C1363"/>
    <w:rsid w:val="002C17DD"/>
    <w:rsid w:val="002F0738"/>
    <w:rsid w:val="003019A6"/>
    <w:rsid w:val="00306C04"/>
    <w:rsid w:val="00314D84"/>
    <w:rsid w:val="003216A1"/>
    <w:rsid w:val="00325CA9"/>
    <w:rsid w:val="003267DF"/>
    <w:rsid w:val="00351718"/>
    <w:rsid w:val="00353F7F"/>
    <w:rsid w:val="0037191A"/>
    <w:rsid w:val="00373F04"/>
    <w:rsid w:val="0037426C"/>
    <w:rsid w:val="00374626"/>
    <w:rsid w:val="00392774"/>
    <w:rsid w:val="003A15AB"/>
    <w:rsid w:val="003C26AD"/>
    <w:rsid w:val="003C665F"/>
    <w:rsid w:val="003E0E9E"/>
    <w:rsid w:val="003E4B5F"/>
    <w:rsid w:val="003E646C"/>
    <w:rsid w:val="004007BB"/>
    <w:rsid w:val="004053CB"/>
    <w:rsid w:val="00410E9C"/>
    <w:rsid w:val="00412075"/>
    <w:rsid w:val="0041469B"/>
    <w:rsid w:val="00415D07"/>
    <w:rsid w:val="004301FB"/>
    <w:rsid w:val="00442742"/>
    <w:rsid w:val="00461C0E"/>
    <w:rsid w:val="00463A8A"/>
    <w:rsid w:val="004735B4"/>
    <w:rsid w:val="004911BA"/>
    <w:rsid w:val="004A43EF"/>
    <w:rsid w:val="004C3379"/>
    <w:rsid w:val="004C58F3"/>
    <w:rsid w:val="004D4945"/>
    <w:rsid w:val="004F4159"/>
    <w:rsid w:val="005030FE"/>
    <w:rsid w:val="005048DE"/>
    <w:rsid w:val="005066B0"/>
    <w:rsid w:val="0053780F"/>
    <w:rsid w:val="005436F8"/>
    <w:rsid w:val="00545116"/>
    <w:rsid w:val="00560BEB"/>
    <w:rsid w:val="00576373"/>
    <w:rsid w:val="00584107"/>
    <w:rsid w:val="00597108"/>
    <w:rsid w:val="005A3015"/>
    <w:rsid w:val="005D17D6"/>
    <w:rsid w:val="005E0AAC"/>
    <w:rsid w:val="005F2658"/>
    <w:rsid w:val="00604891"/>
    <w:rsid w:val="00611424"/>
    <w:rsid w:val="006235C8"/>
    <w:rsid w:val="00643A01"/>
    <w:rsid w:val="00644EEC"/>
    <w:rsid w:val="0064540A"/>
    <w:rsid w:val="00680824"/>
    <w:rsid w:val="00691D90"/>
    <w:rsid w:val="00695609"/>
    <w:rsid w:val="006C5246"/>
    <w:rsid w:val="006D724C"/>
    <w:rsid w:val="006E7C70"/>
    <w:rsid w:val="006F6D02"/>
    <w:rsid w:val="00706A14"/>
    <w:rsid w:val="00710A32"/>
    <w:rsid w:val="00710E3E"/>
    <w:rsid w:val="00721B68"/>
    <w:rsid w:val="0072508E"/>
    <w:rsid w:val="00733696"/>
    <w:rsid w:val="00742662"/>
    <w:rsid w:val="00745473"/>
    <w:rsid w:val="007650EE"/>
    <w:rsid w:val="00765F18"/>
    <w:rsid w:val="00782738"/>
    <w:rsid w:val="0079218E"/>
    <w:rsid w:val="007A629A"/>
    <w:rsid w:val="007A69AB"/>
    <w:rsid w:val="007C423D"/>
    <w:rsid w:val="007F1865"/>
    <w:rsid w:val="007F7DE4"/>
    <w:rsid w:val="00833EBA"/>
    <w:rsid w:val="00836380"/>
    <w:rsid w:val="00844FDE"/>
    <w:rsid w:val="008556D4"/>
    <w:rsid w:val="008557BE"/>
    <w:rsid w:val="0087274D"/>
    <w:rsid w:val="00886D58"/>
    <w:rsid w:val="00891B50"/>
    <w:rsid w:val="008A5EF4"/>
    <w:rsid w:val="008D01DB"/>
    <w:rsid w:val="008E205E"/>
    <w:rsid w:val="008E72F3"/>
    <w:rsid w:val="009037AE"/>
    <w:rsid w:val="009105B5"/>
    <w:rsid w:val="00910801"/>
    <w:rsid w:val="00912362"/>
    <w:rsid w:val="009379D2"/>
    <w:rsid w:val="00940BDB"/>
    <w:rsid w:val="00943860"/>
    <w:rsid w:val="00947E01"/>
    <w:rsid w:val="0096154E"/>
    <w:rsid w:val="00972A3B"/>
    <w:rsid w:val="0098799F"/>
    <w:rsid w:val="00994B1C"/>
    <w:rsid w:val="009D4762"/>
    <w:rsid w:val="00A0152F"/>
    <w:rsid w:val="00A11895"/>
    <w:rsid w:val="00A11C63"/>
    <w:rsid w:val="00A300D1"/>
    <w:rsid w:val="00A33F23"/>
    <w:rsid w:val="00A44146"/>
    <w:rsid w:val="00A511FA"/>
    <w:rsid w:val="00A64846"/>
    <w:rsid w:val="00A97935"/>
    <w:rsid w:val="00AA0618"/>
    <w:rsid w:val="00AA35C2"/>
    <w:rsid w:val="00AA6FA7"/>
    <w:rsid w:val="00AD0075"/>
    <w:rsid w:val="00AE4562"/>
    <w:rsid w:val="00AE4C13"/>
    <w:rsid w:val="00AF6644"/>
    <w:rsid w:val="00AF7492"/>
    <w:rsid w:val="00B00B42"/>
    <w:rsid w:val="00B14BF3"/>
    <w:rsid w:val="00B326A3"/>
    <w:rsid w:val="00B417C0"/>
    <w:rsid w:val="00B433E0"/>
    <w:rsid w:val="00B501E7"/>
    <w:rsid w:val="00B5751F"/>
    <w:rsid w:val="00B776A5"/>
    <w:rsid w:val="00BB2C62"/>
    <w:rsid w:val="00BC1EF9"/>
    <w:rsid w:val="00BC5F36"/>
    <w:rsid w:val="00BD77F6"/>
    <w:rsid w:val="00C03506"/>
    <w:rsid w:val="00C0586E"/>
    <w:rsid w:val="00C2304B"/>
    <w:rsid w:val="00C44FBD"/>
    <w:rsid w:val="00C502EC"/>
    <w:rsid w:val="00C54EBD"/>
    <w:rsid w:val="00C656ED"/>
    <w:rsid w:val="00C75717"/>
    <w:rsid w:val="00CB15EB"/>
    <w:rsid w:val="00CC5FD9"/>
    <w:rsid w:val="00CC7B45"/>
    <w:rsid w:val="00CF1930"/>
    <w:rsid w:val="00CF2A4D"/>
    <w:rsid w:val="00D16EBD"/>
    <w:rsid w:val="00D210D7"/>
    <w:rsid w:val="00D2247F"/>
    <w:rsid w:val="00D25B29"/>
    <w:rsid w:val="00D26607"/>
    <w:rsid w:val="00D30020"/>
    <w:rsid w:val="00D53656"/>
    <w:rsid w:val="00D658D3"/>
    <w:rsid w:val="00D76206"/>
    <w:rsid w:val="00D77026"/>
    <w:rsid w:val="00D83C26"/>
    <w:rsid w:val="00DA6E23"/>
    <w:rsid w:val="00DB0E33"/>
    <w:rsid w:val="00DD0358"/>
    <w:rsid w:val="00DF42D8"/>
    <w:rsid w:val="00E04958"/>
    <w:rsid w:val="00E24B70"/>
    <w:rsid w:val="00E50669"/>
    <w:rsid w:val="00E755DF"/>
    <w:rsid w:val="00E84B34"/>
    <w:rsid w:val="00E855EC"/>
    <w:rsid w:val="00E859AB"/>
    <w:rsid w:val="00EA2DD6"/>
    <w:rsid w:val="00EE477A"/>
    <w:rsid w:val="00EF7804"/>
    <w:rsid w:val="00F11EB4"/>
    <w:rsid w:val="00F2587D"/>
    <w:rsid w:val="00F426D8"/>
    <w:rsid w:val="00F63745"/>
    <w:rsid w:val="00F644C2"/>
    <w:rsid w:val="00FB0A0D"/>
    <w:rsid w:val="00FB4C20"/>
    <w:rsid w:val="00FB608A"/>
    <w:rsid w:val="00FD09C7"/>
    <w:rsid w:val="00FD612B"/>
    <w:rsid w:val="00FE1F04"/>
    <w:rsid w:val="00FF290A"/>
    <w:rsid w:val="00FF30B3"/>
    <w:rsid w:val="00FF6646"/>
    <w:rsid w:val="45E141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17"/>
    <w:unhideWhenUsed/>
    <w:qFormat/>
    <w:uiPriority w:val="9"/>
    <w:pPr>
      <w:keepNext/>
      <w:keepLines/>
      <w:numPr>
        <w:ilvl w:val="0"/>
        <w:numId w:val="1"/>
      </w:numPr>
      <w:spacing w:line="560" w:lineRule="exact"/>
      <w:ind w:firstLine="0"/>
      <w:jc w:val="left"/>
      <w:outlineLvl w:val="1"/>
    </w:pPr>
    <w:rPr>
      <w:rFonts w:eastAsia="楷体_GB2312" w:asciiTheme="majorHAnsi" w:hAnsiTheme="majorHAnsi" w:cstheme="majorBidi"/>
      <w:bCs/>
      <w:sz w:val="28"/>
      <w:szCs w:val="32"/>
    </w:rPr>
  </w:style>
  <w:style w:type="character" w:default="1" w:styleId="11">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3">
    <w:name w:val="Body Text"/>
    <w:basedOn w:val="1"/>
    <w:link w:val="16"/>
    <w:qFormat/>
    <w:uiPriority w:val="1"/>
    <w:pPr>
      <w:autoSpaceDE w:val="0"/>
      <w:autoSpaceDN w:val="0"/>
      <w:jc w:val="left"/>
    </w:pPr>
    <w:rPr>
      <w:rFonts w:ascii="宋体" w:hAnsi="宋体" w:eastAsia="宋体" w:cs="宋体"/>
      <w:kern w:val="0"/>
      <w:szCs w:val="21"/>
      <w:lang w:eastAsia="en-US"/>
    </w:rPr>
  </w:style>
  <w:style w:type="paragraph" w:styleId="4">
    <w:name w:val="Date"/>
    <w:basedOn w:val="1"/>
    <w:next w:val="1"/>
    <w:link w:val="12"/>
    <w:semiHidden/>
    <w:unhideWhenUsed/>
    <w:uiPriority w:val="99"/>
    <w:pPr>
      <w:ind w:left="100" w:leftChars="2500"/>
    </w:pPr>
  </w:style>
  <w:style w:type="paragraph" w:styleId="5">
    <w:name w:val="Balloon Text"/>
    <w:basedOn w:val="1"/>
    <w:link w:val="18"/>
    <w:semiHidden/>
    <w:unhideWhenUsed/>
    <w:uiPriority w:val="99"/>
    <w:rPr>
      <w:sz w:val="18"/>
      <w:szCs w:val="18"/>
    </w:rPr>
  </w:style>
  <w:style w:type="paragraph" w:styleId="6">
    <w:name w:val="footer"/>
    <w:basedOn w:val="1"/>
    <w:link w:val="15"/>
    <w:unhideWhenUsed/>
    <w:uiPriority w:val="99"/>
    <w:pPr>
      <w:tabs>
        <w:tab w:val="center" w:pos="4153"/>
        <w:tab w:val="right" w:pos="8306"/>
      </w:tabs>
      <w:snapToGrid w:val="0"/>
      <w:jc w:val="left"/>
    </w:pPr>
    <w:rPr>
      <w:sz w:val="18"/>
      <w:szCs w:val="18"/>
    </w:rPr>
  </w:style>
  <w:style w:type="paragraph" w:styleId="7">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0">
    <w:name w:val="Table Grid"/>
    <w:basedOn w:val="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日期 字符"/>
    <w:basedOn w:val="11"/>
    <w:link w:val="4"/>
    <w:semiHidden/>
    <w:uiPriority w:val="99"/>
  </w:style>
  <w:style w:type="paragraph" w:styleId="13">
    <w:name w:val="List Paragraph"/>
    <w:basedOn w:val="1"/>
    <w:qFormat/>
    <w:uiPriority w:val="34"/>
    <w:pPr>
      <w:ind w:firstLine="420" w:firstLineChars="200"/>
    </w:pPr>
  </w:style>
  <w:style w:type="character" w:customStyle="1" w:styleId="14">
    <w:name w:val="页眉 字符"/>
    <w:basedOn w:val="11"/>
    <w:link w:val="7"/>
    <w:uiPriority w:val="99"/>
    <w:rPr>
      <w:sz w:val="18"/>
      <w:szCs w:val="18"/>
    </w:rPr>
  </w:style>
  <w:style w:type="character" w:customStyle="1" w:styleId="15">
    <w:name w:val="页脚 字符"/>
    <w:basedOn w:val="11"/>
    <w:link w:val="6"/>
    <w:uiPriority w:val="99"/>
    <w:rPr>
      <w:sz w:val="18"/>
      <w:szCs w:val="18"/>
    </w:rPr>
  </w:style>
  <w:style w:type="character" w:customStyle="1" w:styleId="16">
    <w:name w:val="正文文本 字符"/>
    <w:basedOn w:val="11"/>
    <w:link w:val="3"/>
    <w:uiPriority w:val="1"/>
    <w:rPr>
      <w:rFonts w:ascii="宋体" w:hAnsi="宋体" w:eastAsia="宋体" w:cs="宋体"/>
      <w:kern w:val="0"/>
      <w:szCs w:val="21"/>
      <w:lang w:eastAsia="en-US"/>
    </w:rPr>
  </w:style>
  <w:style w:type="character" w:customStyle="1" w:styleId="17">
    <w:name w:val="标题 2 字符"/>
    <w:basedOn w:val="11"/>
    <w:link w:val="2"/>
    <w:qFormat/>
    <w:uiPriority w:val="9"/>
    <w:rPr>
      <w:rFonts w:eastAsia="楷体_GB2312" w:asciiTheme="majorHAnsi" w:hAnsiTheme="majorHAnsi" w:cstheme="majorBidi"/>
      <w:bCs/>
      <w:sz w:val="28"/>
      <w:szCs w:val="32"/>
    </w:rPr>
  </w:style>
  <w:style w:type="character" w:customStyle="1" w:styleId="18">
    <w:name w:val="批注框文本 字符"/>
    <w:basedOn w:val="11"/>
    <w:link w:val="5"/>
    <w:semiHidden/>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1" Type="http://schemas.openxmlformats.org/officeDocument/2006/relationships/fontTable" Target="fontTable.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FB359-226A-4A22-BDD2-9D411C13F868}">
  <ds:schemaRefs/>
</ds:datastoreItem>
</file>

<file path=docProps/app.xml><?xml version="1.0" encoding="utf-8"?>
<Properties xmlns="http://schemas.openxmlformats.org/officeDocument/2006/extended-properties" xmlns:vt="http://schemas.openxmlformats.org/officeDocument/2006/docPropsVTypes">
  <Template>Normal</Template>
  <Pages>4</Pages>
  <Words>1855</Words>
  <Characters>1990</Characters>
  <Lines>48</Lines>
  <Paragraphs>13</Paragraphs>
  <TotalTime>803</TotalTime>
  <ScaleCrop>false</ScaleCrop>
  <LinksUpToDate>false</LinksUpToDate>
  <CharactersWithSpaces>1998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2025-02-06T03:17:00Z</dcterms:created>
  <dc:creator>刘蓓</dc:creator>
  <cp:lastModifiedBy>Jenny</cp:lastModifiedBy>
  <cp:lastPrinted>2025-02-17T04:45:00Z</cp:lastPrinted>
  <dcterms:modified xsi:type="dcterms:W3CDTF">2025-02-25T06:37:26Z</dcterms:modified>
  <cp:revision>200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eyJoZGlkIjoiMGIyM2JhZDI1NjU2OWQ3NGVmOTc0M2M3ZjM2NzA0NDEiLCJ1c2VySWQiOiIxMTIyMjcyMDAxIn0=</vt:lpwstr>
  </property>
  <property fmtid="{D5CDD505-2E9C-101B-9397-08002B2CF9AE}" pid="3" name="KSOProductBuildVer">
    <vt:lpwstr>2052-12.1.0.20305</vt:lpwstr>
  </property>
  <property fmtid="{D5CDD505-2E9C-101B-9397-08002B2CF9AE}" pid="4" name="ICV">
    <vt:lpwstr>7595EFBF091A42E0A3052065F7167B8B_13</vt:lpwstr>
  </property>
</Properties>
</file>