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rPr>
        <w:t>陕西省自然资源厅</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关于进一步强化规划许可规范规划实施</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rPr>
        <w:t>监督管理的</w:t>
      </w:r>
      <w:r>
        <w:rPr>
          <w:rFonts w:hint="eastAsia" w:ascii="方正小标宋_GBK" w:hAnsi="方正小标宋_GBK" w:eastAsia="方正小标宋_GBK" w:cs="方正小标宋_GBK"/>
          <w:color w:val="auto"/>
          <w:sz w:val="44"/>
          <w:szCs w:val="44"/>
          <w:lang w:eastAsia="zh-CN"/>
        </w:rPr>
        <w:t>意见</w:t>
      </w:r>
      <w:r>
        <w:rPr>
          <w:rFonts w:hint="eastAsia" w:ascii="方正小标宋_GBK" w:hAnsi="方正小标宋_GBK" w:eastAsia="方正小标宋_GBK" w:cs="方正小标宋_GBK"/>
          <w:color w:val="auto"/>
          <w:sz w:val="44"/>
          <w:szCs w:val="44"/>
          <w:lang w:val="en-US" w:eastAsia="zh-CN"/>
        </w:rPr>
        <w:t>（征求意见稿）</w:t>
      </w:r>
    </w:p>
    <w:p>
      <w:pPr>
        <w:pStyle w:val="4"/>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仿宋_GB2312" w:hAnsi="仿宋" w:eastAsia="仿宋_GB2312" w:cs="仿宋"/>
          <w:color w:val="auto"/>
          <w:kern w:val="2"/>
          <w:sz w:val="32"/>
          <w:szCs w:val="32"/>
          <w:highlight w:val="none"/>
          <w:lang w:val="en-US" w:eastAsia="zh-CN" w:bidi="ar-SA"/>
        </w:rPr>
      </w:pPr>
    </w:p>
    <w:p>
      <w:pPr>
        <w:pStyle w:val="14"/>
        <w:keepNext w:val="0"/>
        <w:keepLines w:val="0"/>
        <w:pageBreakBefore w:val="0"/>
        <w:widowControl w:val="0"/>
        <w:kinsoku/>
        <w:wordWrap/>
        <w:overflowPunct/>
        <w:topLinePunct w:val="0"/>
        <w:autoSpaceDE/>
        <w:autoSpaceDN/>
        <w:bidi w:val="0"/>
        <w:adjustRightInd/>
        <w:snapToGrid/>
        <w:spacing w:line="580" w:lineRule="exact"/>
        <w:ind w:left="0" w:firstLine="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各市（区）自然资源主管部门：</w:t>
      </w:r>
    </w:p>
    <w:p>
      <w:pPr>
        <w:pStyle w:val="14"/>
        <w:keepNext w:val="0"/>
        <w:keepLines w:val="0"/>
        <w:pageBreakBefore w:val="0"/>
        <w:widowControl w:val="0"/>
        <w:kinsoku/>
        <w:wordWrap/>
        <w:overflowPunct/>
        <w:topLinePunct w:val="0"/>
        <w:autoSpaceDE/>
        <w:autoSpaceDN/>
        <w:bidi w:val="0"/>
        <w:adjustRightInd/>
        <w:snapToGrid/>
        <w:spacing w:line="580" w:lineRule="exact"/>
        <w:ind w:left="0" w:firstLine="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 xml:space="preserve"> </w:t>
      </w:r>
      <w:r>
        <w:rPr>
          <w:rFonts w:ascii="仿宋_GB2312" w:hAnsi="仿宋" w:eastAsia="仿宋_GB2312" w:cs="仿宋"/>
          <w:color w:val="auto"/>
          <w:sz w:val="32"/>
          <w:szCs w:val="32"/>
          <w:highlight w:val="none"/>
        </w:rPr>
        <w:t xml:space="preserve">   </w:t>
      </w:r>
      <w:r>
        <w:rPr>
          <w:rFonts w:hint="eastAsia" w:ascii="仿宋_GB2312" w:hAnsi="仿宋" w:eastAsia="仿宋_GB2312" w:cs="仿宋"/>
          <w:color w:val="auto"/>
          <w:sz w:val="32"/>
          <w:szCs w:val="32"/>
          <w:highlight w:val="none"/>
          <w:lang w:eastAsia="zh-CN"/>
        </w:rPr>
        <w:t>为落实“双随机、一公开”抽查整改要求，进一步规范我省规划许可事项管理，强化国土空间规划实施监督管理</w:t>
      </w:r>
      <w:r>
        <w:rPr>
          <w:rFonts w:hint="eastAsia" w:ascii="仿宋_GB2312" w:hAnsi="仿宋" w:eastAsia="仿宋_GB2312" w:cs="仿宋"/>
          <w:color w:val="auto"/>
          <w:sz w:val="32"/>
          <w:szCs w:val="32"/>
          <w:highlight w:val="none"/>
        </w:rPr>
        <w:t>，</w:t>
      </w:r>
      <w:r>
        <w:rPr>
          <w:rFonts w:hint="eastAsia" w:ascii="仿宋_GB2312" w:hAnsi="仿宋" w:eastAsia="仿宋_GB2312" w:cs="仿宋"/>
          <w:color w:val="auto"/>
          <w:sz w:val="32"/>
          <w:szCs w:val="32"/>
          <w:highlight w:val="none"/>
          <w:lang w:eastAsia="zh-CN"/>
        </w:rPr>
        <w:t>按照相关法律法规和自然资源部要求，</w:t>
      </w:r>
      <w:r>
        <w:rPr>
          <w:rFonts w:hint="eastAsia" w:ascii="仿宋_GB2312" w:hAnsi="仿宋" w:eastAsia="仿宋_GB2312" w:cs="仿宋"/>
          <w:color w:val="auto"/>
          <w:sz w:val="32"/>
          <w:szCs w:val="32"/>
          <w:highlight w:val="none"/>
        </w:rPr>
        <w:t>结合我省实际，</w:t>
      </w:r>
      <w:r>
        <w:rPr>
          <w:rFonts w:hint="eastAsia" w:ascii="仿宋_GB2312" w:hAnsi="仿宋" w:eastAsia="仿宋_GB2312" w:cs="仿宋"/>
          <w:color w:val="auto"/>
          <w:sz w:val="32"/>
          <w:szCs w:val="32"/>
          <w:highlight w:val="none"/>
          <w:lang w:eastAsia="zh-CN"/>
        </w:rPr>
        <w:t>提出以下意见</w:t>
      </w:r>
      <w:r>
        <w:rPr>
          <w:rFonts w:hint="eastAsia" w:ascii="仿宋_GB2312" w:hAnsi="仿宋" w:eastAsia="仿宋_GB2312" w:cs="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CESI黑体-GB2312" w:hAnsi="CESI黑体-GB2312" w:eastAsia="CESI黑体-GB2312" w:cs="CESI黑体-GB2312"/>
          <w:color w:val="auto"/>
          <w:sz w:val="32"/>
          <w:szCs w:val="32"/>
          <w:highlight w:val="none"/>
          <w:lang w:eastAsia="zh-CN"/>
        </w:rPr>
      </w:pPr>
      <w:r>
        <w:rPr>
          <w:rFonts w:hint="eastAsia" w:ascii="CESI黑体-GB2312" w:hAnsi="CESI黑体-GB2312" w:eastAsia="CESI黑体-GB2312" w:cs="CESI黑体-GB2312"/>
          <w:color w:val="auto"/>
          <w:sz w:val="32"/>
          <w:szCs w:val="32"/>
          <w:highlight w:val="none"/>
        </w:rPr>
        <w:t>一、强化法定规划</w:t>
      </w:r>
      <w:r>
        <w:rPr>
          <w:rFonts w:hint="eastAsia" w:ascii="CESI黑体-GB2312" w:hAnsi="CESI黑体-GB2312" w:eastAsia="CESI黑体-GB2312" w:cs="CESI黑体-GB2312"/>
          <w:color w:val="auto"/>
          <w:sz w:val="32"/>
          <w:szCs w:val="32"/>
          <w:highlight w:val="none"/>
          <w:lang w:eastAsia="zh-CN"/>
        </w:rPr>
        <w:t>管控</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Calibri" w:hAnsi="Calibri" w:eastAsia="宋体" w:cs="Tahoma"/>
          <w:color w:val="auto"/>
          <w:kern w:val="2"/>
          <w:sz w:val="44"/>
          <w:szCs w:val="44"/>
          <w:lang w:val="en-US" w:eastAsia="zh-CN" w:bidi="ar-SA"/>
        </w:rPr>
      </w:pPr>
      <w:r>
        <w:rPr>
          <w:rFonts w:hint="eastAsia" w:ascii="楷体_GB2312" w:hAnsi="楷体_GB2312" w:eastAsia="楷体_GB2312" w:cs="楷体_GB2312"/>
          <w:color w:val="auto"/>
          <w:sz w:val="32"/>
          <w:szCs w:val="32"/>
          <w:highlight w:val="none"/>
          <w:lang w:eastAsia="zh-CN"/>
        </w:rPr>
        <w:t>（一）严格规划许可审批依据。</w:t>
      </w:r>
      <w:r>
        <w:rPr>
          <w:rFonts w:hint="eastAsia" w:ascii="仿宋_GB2312" w:hAnsi="仿宋" w:eastAsia="仿宋_GB2312" w:cs="仿宋"/>
          <w:color w:val="auto"/>
          <w:sz w:val="32"/>
          <w:szCs w:val="32"/>
          <w:highlight w:val="none"/>
        </w:rPr>
        <w:t>经依法批准的国土空间总体规划和详细规划</w:t>
      </w:r>
      <w:r>
        <w:rPr>
          <w:rFonts w:hint="eastAsia" w:ascii="仿宋_GB2312" w:hAnsi="仿宋" w:eastAsia="仿宋_GB2312" w:cs="仿宋"/>
          <w:color w:val="auto"/>
          <w:sz w:val="32"/>
          <w:szCs w:val="32"/>
          <w:highlight w:val="none"/>
          <w:lang w:eastAsia="zh-CN"/>
        </w:rPr>
        <w:t>（含单独编制的零散地块详细规划）</w:t>
      </w:r>
      <w:r>
        <w:rPr>
          <w:rFonts w:hint="eastAsia" w:ascii="仿宋_GB2312" w:hAnsi="仿宋" w:eastAsia="仿宋_GB2312" w:cs="仿宋"/>
          <w:color w:val="auto"/>
          <w:sz w:val="32"/>
          <w:szCs w:val="32"/>
          <w:highlight w:val="none"/>
        </w:rPr>
        <w:t>是核发规划许可的法定依据。不得以城市设计、城市更新规划、历史文化保护规划等专项规划和片区策划、实施方案等名义替代国土空间规划作为各类开发保护建设活动的规划审批依据。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color w:val="auto"/>
          <w:sz w:val="32"/>
          <w:szCs w:val="32"/>
          <w:highlight w:val="none"/>
        </w:rPr>
      </w:pPr>
      <w:r>
        <w:rPr>
          <w:rFonts w:hint="eastAsia" w:ascii="楷体_GB2312" w:hAnsi="楷体_GB2312" w:eastAsia="楷体_GB2312" w:cs="楷体_GB2312"/>
          <w:color w:val="auto"/>
          <w:sz w:val="32"/>
          <w:szCs w:val="32"/>
          <w:highlight w:val="none"/>
          <w:lang w:eastAsia="zh-CN"/>
        </w:rPr>
        <w:t>（二</w:t>
      </w: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eastAsia="zh-CN"/>
        </w:rPr>
        <w:t>规范规划条件设置。</w:t>
      </w:r>
      <w:r>
        <w:rPr>
          <w:rFonts w:hint="eastAsia" w:ascii="Times New Roman" w:hAnsi="Times New Roman" w:eastAsia="仿宋_GB2312" w:cs="Times New Roman"/>
          <w:color w:val="auto"/>
          <w:sz w:val="32"/>
          <w:szCs w:val="32"/>
          <w:highlight w:val="none"/>
          <w:lang w:eastAsia="zh-CN"/>
        </w:rPr>
        <w:t>严格依照法定程序批准的</w:t>
      </w:r>
      <w:r>
        <w:rPr>
          <w:rFonts w:hint="eastAsia" w:ascii="Times New Roman" w:hAnsi="Times New Roman" w:eastAsia="仿宋_GB2312" w:cs="Times New Roman"/>
          <w:color w:val="auto"/>
          <w:sz w:val="32"/>
          <w:szCs w:val="32"/>
          <w:highlight w:val="none"/>
        </w:rPr>
        <w:t>详细规划核定规划条件</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规划条件应当重点体现空间治理要求，明确用地位置、面积、土地用途、容积率、建筑密度、建筑高度、绿地率、</w:t>
      </w:r>
      <w:r>
        <w:rPr>
          <w:rFonts w:hint="eastAsia" w:ascii="Times New Roman" w:hAnsi="Times New Roman" w:eastAsia="仿宋_GB2312" w:cs="Times New Roman"/>
          <w:color w:val="auto"/>
          <w:sz w:val="32"/>
          <w:szCs w:val="32"/>
          <w:highlight w:val="none"/>
          <w:lang w:eastAsia="zh-CN"/>
        </w:rPr>
        <w:t>建筑退让、停车泊位（含电动自行车停放场所、预留新能源汽车充电设施安装条件）、</w:t>
      </w:r>
      <w:r>
        <w:rPr>
          <w:rFonts w:ascii="Times New Roman" w:hAnsi="Times New Roman" w:eastAsia="仿宋_GB2312" w:cs="Times New Roman"/>
          <w:color w:val="auto"/>
          <w:sz w:val="32"/>
          <w:szCs w:val="32"/>
          <w:highlight w:val="none"/>
        </w:rPr>
        <w:t>须配置的公共设施和基础设施、地下空间开发利用要求等强制性内容以及</w:t>
      </w:r>
      <w:r>
        <w:rPr>
          <w:rFonts w:hint="eastAsia" w:ascii="Times New Roman" w:hAnsi="Times New Roman" w:eastAsia="仿宋_GB2312" w:cs="Times New Roman"/>
          <w:color w:val="auto"/>
          <w:sz w:val="32"/>
          <w:szCs w:val="32"/>
          <w:highlight w:val="none"/>
          <w:lang w:eastAsia="zh-CN"/>
        </w:rPr>
        <w:t>城市设计、风貌管控、公共空间、视线通廊、交通组织</w:t>
      </w:r>
      <w:r>
        <w:rPr>
          <w:rFonts w:ascii="Times New Roman" w:hAnsi="Times New Roman" w:eastAsia="仿宋_GB2312" w:cs="Times New Roman"/>
          <w:color w:val="auto"/>
          <w:sz w:val="32"/>
          <w:szCs w:val="32"/>
          <w:highlight w:val="none"/>
        </w:rPr>
        <w:t>等引导性内容</w:t>
      </w:r>
      <w:r>
        <w:rPr>
          <w:rFonts w:hint="eastAsia" w:ascii="Times New Roman" w:hAnsi="Times New Roman" w:eastAsia="仿宋_GB2312" w:cs="Times New Roman"/>
          <w:color w:val="auto"/>
          <w:sz w:val="32"/>
          <w:szCs w:val="32"/>
          <w:highlight w:val="none"/>
          <w:lang w:eastAsia="zh-CN"/>
        </w:rPr>
        <w:t>。积极探索将城市现代物流、低空经济等城市新业态相关配套设施要求，纳入详细规划和规划条件。除法律法规明确要求外，原则上</w:t>
      </w:r>
      <w:r>
        <w:rPr>
          <w:rFonts w:ascii="Times New Roman" w:hAnsi="Times New Roman" w:eastAsia="仿宋_GB2312" w:cs="Times New Roman"/>
          <w:color w:val="auto"/>
          <w:sz w:val="32"/>
          <w:szCs w:val="32"/>
          <w:highlight w:val="none"/>
        </w:rPr>
        <w:t>不得将国土空间总体规划和详细规划管控</w:t>
      </w:r>
      <w:r>
        <w:rPr>
          <w:rFonts w:hint="eastAsia" w:ascii="Times New Roman" w:hAnsi="Times New Roman" w:eastAsia="仿宋_GB2312" w:cs="Times New Roman"/>
          <w:color w:val="auto"/>
          <w:sz w:val="32"/>
          <w:szCs w:val="32"/>
          <w:highlight w:val="none"/>
          <w:lang w:eastAsia="zh-CN"/>
        </w:rPr>
        <w:t>要求</w:t>
      </w:r>
      <w:r>
        <w:rPr>
          <w:rFonts w:ascii="Times New Roman" w:hAnsi="Times New Roman" w:eastAsia="仿宋_GB2312" w:cs="Times New Roman"/>
          <w:color w:val="auto"/>
          <w:sz w:val="32"/>
          <w:szCs w:val="32"/>
          <w:highlight w:val="none"/>
        </w:rPr>
        <w:t>之外的非空间治理内容纳入规划条件，不得违反国家强制性标准规范设置规划条件。</w:t>
      </w:r>
      <w:r>
        <w:rPr>
          <w:rFonts w:hint="eastAsia" w:ascii="Times New Roman" w:hAnsi="Times New Roman" w:eastAsia="仿宋_GB2312" w:cs="Times New Roman"/>
          <w:color w:val="auto"/>
          <w:sz w:val="32"/>
          <w:szCs w:val="32"/>
          <w:highlight w:val="none"/>
          <w:lang w:eastAsia="zh-CN"/>
        </w:rPr>
        <w:t>用地预审与选址意见书明确的规划要求达到规划条件深度的，可作为规划条件使用。</w:t>
      </w:r>
      <w:r>
        <w:rPr>
          <w:rFonts w:hint="eastAsia" w:ascii="Times New Roman" w:hAnsi="Times New Roman" w:eastAsia="仿宋_GB2312" w:cs="Times New Roman"/>
          <w:color w:val="auto"/>
          <w:sz w:val="32"/>
          <w:szCs w:val="32"/>
          <w:highlight w:val="none"/>
        </w:rPr>
        <w:t>未依法</w:t>
      </w:r>
      <w:r>
        <w:rPr>
          <w:rFonts w:ascii="Times New Roman" w:hAnsi="Times New Roman" w:eastAsia="仿宋_GB2312" w:cs="Times New Roman"/>
          <w:color w:val="auto"/>
          <w:sz w:val="32"/>
          <w:szCs w:val="32"/>
          <w:highlight w:val="none"/>
        </w:rPr>
        <w:t>确定规划条件的地块，不得</w:t>
      </w:r>
      <w:r>
        <w:rPr>
          <w:rFonts w:hint="eastAsia" w:ascii="Times New Roman" w:hAnsi="Times New Roman" w:eastAsia="仿宋_GB2312" w:cs="Times New Roman"/>
          <w:color w:val="auto"/>
          <w:sz w:val="32"/>
          <w:szCs w:val="32"/>
          <w:highlight w:val="none"/>
        </w:rPr>
        <w:t>供应建设用地</w:t>
      </w:r>
      <w:r>
        <w:rPr>
          <w:rFonts w:ascii="Times New Roman" w:hAnsi="Times New Roman" w:eastAsia="仿宋_GB2312" w:cs="Times New Roman"/>
          <w:color w:val="auto"/>
          <w:sz w:val="32"/>
          <w:szCs w:val="32"/>
          <w:highlight w:val="none"/>
        </w:rPr>
        <w:t>使用权。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（三</w:t>
      </w:r>
      <w:r>
        <w:rPr>
          <w:rFonts w:hint="eastAsia" w:ascii="楷体_GB2312" w:hAnsi="楷体_GB2312" w:eastAsia="楷体_GB2312" w:cs="楷体_GB2312"/>
          <w:color w:val="auto"/>
          <w:sz w:val="32"/>
          <w:szCs w:val="32"/>
          <w:highlight w:val="none"/>
        </w:rPr>
        <w:t>）严控规划条件变更。</w:t>
      </w:r>
      <w:r>
        <w:rPr>
          <w:rFonts w:hint="eastAsia" w:ascii="Times New Roman" w:hAnsi="Times New Roman" w:eastAsia="仿宋_GB2312" w:cs="Times New Roman"/>
          <w:color w:val="auto"/>
          <w:sz w:val="32"/>
          <w:szCs w:val="32"/>
          <w:highlight w:val="none"/>
          <w:lang w:eastAsia="zh-CN"/>
        </w:rPr>
        <w:t>经批准的规划条件不得随意变更</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确需变更规划条件的，</w:t>
      </w:r>
      <w:r>
        <w:rPr>
          <w:rFonts w:hint="eastAsia" w:ascii="Times New Roman" w:hAnsi="Times New Roman" w:eastAsia="仿宋_GB2312" w:cs="Times New Roman"/>
          <w:color w:val="auto"/>
          <w:sz w:val="32"/>
          <w:szCs w:val="32"/>
          <w:highlight w:val="none"/>
        </w:rPr>
        <w:t>应当符合经依法批准的详细规划、法律法规以及相关规范要求</w:t>
      </w:r>
      <w:r>
        <w:rPr>
          <w:rFonts w:hint="eastAsia" w:ascii="Times New Roman" w:hAnsi="Times New Roman" w:eastAsia="仿宋_GB2312" w:cs="Times New Roman"/>
          <w:color w:val="auto"/>
          <w:sz w:val="32"/>
          <w:szCs w:val="32"/>
          <w:highlight w:val="none"/>
          <w:lang w:eastAsia="zh-CN"/>
        </w:rPr>
        <w:t>。变更规划条件应当按照有关程序，由</w:t>
      </w:r>
      <w:r>
        <w:rPr>
          <w:rFonts w:hint="eastAsia" w:ascii="Times New Roman" w:hAnsi="Times New Roman" w:eastAsia="仿宋_GB2312" w:cs="Times New Roman"/>
          <w:color w:val="auto"/>
          <w:sz w:val="32"/>
          <w:szCs w:val="32"/>
          <w:highlight w:val="none"/>
        </w:rPr>
        <w:t>土地使用权人向市、县自然资源主管部门提出申请，经</w:t>
      </w:r>
      <w:r>
        <w:rPr>
          <w:rFonts w:hint="eastAsia" w:ascii="Times New Roman" w:hAnsi="Times New Roman" w:eastAsia="仿宋_GB2312" w:cs="Times New Roman"/>
          <w:color w:val="auto"/>
          <w:sz w:val="32"/>
          <w:szCs w:val="32"/>
          <w:highlight w:val="none"/>
          <w:lang w:eastAsia="zh-CN"/>
        </w:rPr>
        <w:t>有详细规划审批权限的</w:t>
      </w:r>
      <w:r>
        <w:rPr>
          <w:rFonts w:hint="eastAsia" w:ascii="Times New Roman" w:hAnsi="Times New Roman" w:eastAsia="仿宋_GB2312" w:cs="Times New Roman"/>
          <w:color w:val="auto"/>
          <w:sz w:val="32"/>
          <w:szCs w:val="32"/>
          <w:highlight w:val="none"/>
        </w:rPr>
        <w:t>市</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县</w:t>
      </w:r>
      <w:r>
        <w:rPr>
          <w:rFonts w:hint="eastAsia" w:ascii="Times New Roman" w:hAnsi="Times New Roman" w:eastAsia="仿宋_GB2312" w:cs="Times New Roman"/>
          <w:color w:val="auto"/>
          <w:sz w:val="32"/>
          <w:szCs w:val="32"/>
          <w:highlight w:val="none"/>
          <w:lang w:eastAsia="zh-CN"/>
        </w:rPr>
        <w:t>人民</w:t>
      </w:r>
      <w:r>
        <w:rPr>
          <w:rFonts w:hint="eastAsia" w:ascii="Times New Roman" w:hAnsi="Times New Roman" w:eastAsia="仿宋_GB2312" w:cs="Times New Roman"/>
          <w:color w:val="auto"/>
          <w:sz w:val="32"/>
          <w:szCs w:val="32"/>
          <w:highlight w:val="none"/>
        </w:rPr>
        <w:t>政府同意后，自然资源主管部门依法依规予以重新核定规划条件。变更内容不符合详细规划的，应当严格充分论证，符合《陕西省控制性详细规划管理办法》</w:t>
      </w:r>
      <w:r>
        <w:rPr>
          <w:rFonts w:hint="eastAsia" w:ascii="Times New Roman" w:hAnsi="Times New Roman" w:eastAsia="仿宋_GB2312" w:cs="Times New Roman"/>
          <w:color w:val="auto"/>
          <w:sz w:val="32"/>
          <w:szCs w:val="32"/>
          <w:highlight w:val="none"/>
          <w:lang w:eastAsia="zh-CN"/>
        </w:rPr>
        <w:t>（陕西省人民政府令第</w:t>
      </w:r>
      <w:r>
        <w:rPr>
          <w:rFonts w:hint="eastAsia" w:ascii="仿宋_GB2312" w:hAnsi="仿宋" w:eastAsia="仿宋_GB2312" w:cs="仿宋"/>
          <w:color w:val="auto"/>
          <w:sz w:val="32"/>
          <w:szCs w:val="32"/>
          <w:highlight w:val="none"/>
          <w:lang w:val="en-US" w:eastAsia="zh-CN"/>
        </w:rPr>
        <w:t>192</w:t>
      </w:r>
      <w:r>
        <w:rPr>
          <w:rFonts w:hint="eastAsia" w:ascii="Times New Roman" w:hAnsi="Times New Roman" w:eastAsia="仿宋_GB2312" w:cs="Times New Roman"/>
          <w:color w:val="auto"/>
          <w:sz w:val="32"/>
          <w:szCs w:val="32"/>
          <w:highlight w:val="none"/>
          <w:lang w:val="en-US" w:eastAsia="zh-CN"/>
        </w:rPr>
        <w:t>号）</w:t>
      </w:r>
      <w:r>
        <w:rPr>
          <w:rFonts w:hint="eastAsia" w:ascii="Times New Roman" w:hAnsi="Times New Roman" w:eastAsia="仿宋_GB2312" w:cs="Times New Roman"/>
          <w:color w:val="auto"/>
          <w:sz w:val="32"/>
          <w:szCs w:val="32"/>
          <w:highlight w:val="none"/>
        </w:rPr>
        <w:t>修改情形的，依法定程序修改详细规划后方可办理规划条件变更手续。</w:t>
      </w:r>
      <w:r>
        <w:rPr>
          <w:rFonts w:hint="eastAsia" w:ascii="Times New Roman" w:hAnsi="Times New Roman" w:eastAsia="仿宋_GB2312" w:cs="Times New Roman"/>
          <w:color w:val="auto"/>
          <w:sz w:val="32"/>
          <w:szCs w:val="32"/>
          <w:highlight w:val="none"/>
          <w:lang w:eastAsia="zh-CN"/>
        </w:rPr>
        <w:t>对于公共管理和公共服务用地，各市可结合实际优化规划条件变更程序。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二</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落实规划许可总体要求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eastAsia="zh-CN"/>
        </w:rPr>
        <w:t>四</w:t>
      </w: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eastAsia="zh-CN"/>
        </w:rPr>
        <w:t>明确</w:t>
      </w:r>
      <w:r>
        <w:rPr>
          <w:rFonts w:hint="eastAsia" w:ascii="楷体_GB2312" w:hAnsi="楷体_GB2312" w:eastAsia="楷体_GB2312" w:cs="楷体_GB2312"/>
          <w:color w:val="auto"/>
          <w:sz w:val="32"/>
          <w:szCs w:val="32"/>
          <w:highlight w:val="none"/>
        </w:rPr>
        <w:t>规划许可职责。</w:t>
      </w:r>
      <w:r>
        <w:rPr>
          <w:rFonts w:hint="eastAsia" w:ascii="Times New Roman" w:hAnsi="Times New Roman" w:eastAsia="仿宋_GB2312" w:cs="Times New Roman"/>
          <w:color w:val="auto"/>
          <w:sz w:val="32"/>
          <w:szCs w:val="32"/>
          <w:highlight w:val="none"/>
        </w:rPr>
        <w:t>建设项目用地预审与选址</w:t>
      </w:r>
      <w:r>
        <w:rPr>
          <w:rFonts w:hint="eastAsia" w:ascii="Times New Roman" w:hAnsi="Times New Roman" w:eastAsia="仿宋_GB2312" w:cs="Times New Roman"/>
          <w:color w:val="auto"/>
          <w:sz w:val="32"/>
          <w:szCs w:val="32"/>
          <w:highlight w:val="none"/>
          <w:lang w:eastAsia="zh-CN"/>
        </w:rPr>
        <w:t>意见书</w:t>
      </w:r>
      <w:r>
        <w:rPr>
          <w:rFonts w:hint="eastAsia" w:ascii="Times New Roman" w:hAnsi="Times New Roman" w:eastAsia="仿宋_GB2312" w:cs="Times New Roman"/>
          <w:color w:val="auto"/>
          <w:sz w:val="32"/>
          <w:szCs w:val="32"/>
          <w:highlight w:val="none"/>
        </w:rPr>
        <w:t>、建设用地规划许可</w:t>
      </w:r>
      <w:r>
        <w:rPr>
          <w:rFonts w:hint="eastAsia" w:ascii="Times New Roman" w:hAnsi="Times New Roman" w:eastAsia="仿宋_GB2312" w:cs="Times New Roman"/>
          <w:color w:val="auto"/>
          <w:sz w:val="32"/>
          <w:szCs w:val="32"/>
          <w:highlight w:val="none"/>
          <w:lang w:eastAsia="zh-CN"/>
        </w:rPr>
        <w:t>证</w:t>
      </w:r>
      <w:r>
        <w:rPr>
          <w:rFonts w:hint="eastAsia" w:ascii="Times New Roman" w:hAnsi="Times New Roman" w:eastAsia="仿宋_GB2312" w:cs="Times New Roman"/>
          <w:color w:val="auto"/>
          <w:sz w:val="32"/>
          <w:szCs w:val="32"/>
          <w:highlight w:val="none"/>
        </w:rPr>
        <w:t>、建设工程规划许可</w:t>
      </w:r>
      <w:r>
        <w:rPr>
          <w:rFonts w:hint="eastAsia" w:ascii="Times New Roman" w:hAnsi="Times New Roman" w:eastAsia="仿宋_GB2312" w:cs="Times New Roman"/>
          <w:color w:val="auto"/>
          <w:sz w:val="32"/>
          <w:szCs w:val="32"/>
          <w:highlight w:val="none"/>
          <w:lang w:eastAsia="zh-CN"/>
        </w:rPr>
        <w:t>证</w:t>
      </w:r>
      <w:r>
        <w:rPr>
          <w:rFonts w:hint="eastAsia" w:ascii="Times New Roman" w:hAnsi="Times New Roman" w:eastAsia="仿宋_GB2312" w:cs="Times New Roman"/>
          <w:color w:val="auto"/>
          <w:sz w:val="32"/>
          <w:szCs w:val="32"/>
          <w:highlight w:val="none"/>
        </w:rPr>
        <w:t>、乡村建设规划许可</w:t>
      </w:r>
      <w:r>
        <w:rPr>
          <w:rFonts w:hint="eastAsia" w:ascii="Times New Roman" w:hAnsi="Times New Roman" w:eastAsia="仿宋_GB2312" w:cs="Times New Roman"/>
          <w:color w:val="auto"/>
          <w:sz w:val="32"/>
          <w:szCs w:val="32"/>
          <w:highlight w:val="none"/>
          <w:lang w:eastAsia="zh-CN"/>
        </w:rPr>
        <w:t>证</w:t>
      </w:r>
      <w:r>
        <w:rPr>
          <w:rFonts w:hint="eastAsia" w:ascii="Times New Roman" w:hAnsi="Times New Roman" w:eastAsia="仿宋_GB2312" w:cs="Times New Roman"/>
          <w:color w:val="auto"/>
          <w:sz w:val="32"/>
          <w:szCs w:val="32"/>
          <w:highlight w:val="none"/>
        </w:rPr>
        <w:t>等“一书三证”属于自然资源部门的行政许可事项，按照“谁主管、谁监管”和“谁审批、谁负责”的要求，</w:t>
      </w:r>
      <w:r>
        <w:rPr>
          <w:rFonts w:hint="eastAsia" w:ascii="Times New Roman" w:hAnsi="Times New Roman" w:eastAsia="仿宋_GB2312" w:cs="Times New Roman"/>
          <w:color w:val="auto"/>
          <w:sz w:val="32"/>
          <w:szCs w:val="32"/>
          <w:highlight w:val="none"/>
          <w:lang w:eastAsia="zh-CN"/>
        </w:rPr>
        <w:t>由</w:t>
      </w:r>
      <w:r>
        <w:rPr>
          <w:rFonts w:hint="eastAsia" w:ascii="Times New Roman" w:hAnsi="Times New Roman" w:eastAsia="仿宋_GB2312" w:cs="Times New Roman"/>
          <w:color w:val="auto"/>
          <w:sz w:val="32"/>
          <w:szCs w:val="32"/>
          <w:highlight w:val="none"/>
        </w:rPr>
        <w:t>市、县自然资源主管部门统一核发或监督管理规划许可，并严格落实法律法规规定和自然资源部公布的规划许可实施规范等各项要求。各类开发区</w:t>
      </w:r>
      <w:r>
        <w:rPr>
          <w:rFonts w:hint="eastAsia" w:ascii="Times New Roman" w:hAnsi="Times New Roman" w:eastAsia="仿宋_GB2312" w:cs="Times New Roman"/>
          <w:color w:val="auto"/>
          <w:sz w:val="32"/>
          <w:szCs w:val="32"/>
          <w:highlight w:val="none"/>
          <w:lang w:eastAsia="zh-CN"/>
        </w:rPr>
        <w:t>、城市新区</w:t>
      </w:r>
      <w:r>
        <w:rPr>
          <w:rFonts w:hint="eastAsia" w:ascii="Times New Roman" w:hAnsi="Times New Roman" w:eastAsia="仿宋_GB2312" w:cs="Times New Roman"/>
          <w:color w:val="auto"/>
          <w:sz w:val="32"/>
          <w:szCs w:val="32"/>
          <w:highlight w:val="none"/>
        </w:rPr>
        <w:t>不得设立独立的规划管理机构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可作为市、县自然资源部门派出机构根据事权划分行使规划</w:t>
      </w:r>
      <w:r>
        <w:rPr>
          <w:rFonts w:hint="eastAsia" w:ascii="Times New Roman" w:hAnsi="Times New Roman" w:eastAsia="仿宋_GB2312" w:cs="Times New Roman"/>
          <w:color w:val="auto"/>
          <w:sz w:val="32"/>
          <w:szCs w:val="32"/>
          <w:highlight w:val="none"/>
          <w:lang w:eastAsia="zh-CN"/>
        </w:rPr>
        <w:t>许可</w:t>
      </w:r>
      <w:r>
        <w:rPr>
          <w:rFonts w:hint="eastAsia" w:ascii="Times New Roman" w:hAnsi="Times New Roman" w:eastAsia="仿宋_GB2312" w:cs="Times New Roman"/>
          <w:color w:val="auto"/>
          <w:sz w:val="32"/>
          <w:szCs w:val="32"/>
          <w:highlight w:val="none"/>
        </w:rPr>
        <w:t>管理权限。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eastAsia="zh-CN"/>
        </w:rPr>
        <w:t>五</w:t>
      </w:r>
      <w:r>
        <w:rPr>
          <w:rFonts w:hint="eastAsia" w:ascii="楷体_GB2312" w:hAnsi="楷体_GB2312" w:eastAsia="楷体_GB2312" w:cs="楷体_GB2312"/>
          <w:color w:val="auto"/>
          <w:sz w:val="32"/>
          <w:szCs w:val="32"/>
          <w:highlight w:val="none"/>
        </w:rPr>
        <w:t>）严格规划许可</w:t>
      </w:r>
      <w:r>
        <w:rPr>
          <w:rFonts w:hint="eastAsia" w:ascii="楷体_GB2312" w:hAnsi="楷体_GB2312" w:eastAsia="楷体_GB2312" w:cs="楷体_GB2312"/>
          <w:color w:val="auto"/>
          <w:sz w:val="32"/>
          <w:szCs w:val="32"/>
          <w:highlight w:val="none"/>
          <w:lang w:eastAsia="zh-CN"/>
        </w:rPr>
        <w:t>底线</w:t>
      </w:r>
      <w:r>
        <w:rPr>
          <w:rFonts w:hint="eastAsia" w:ascii="楷体_GB2312" w:hAnsi="楷体_GB2312" w:eastAsia="楷体_GB2312" w:cs="楷体_GB2312"/>
          <w:color w:val="auto"/>
          <w:sz w:val="32"/>
          <w:szCs w:val="32"/>
          <w:highlight w:val="none"/>
        </w:rPr>
        <w:t>要求。</w:t>
      </w:r>
      <w:r>
        <w:rPr>
          <w:rFonts w:hint="eastAsia" w:ascii="Times New Roman" w:hAnsi="Times New Roman" w:eastAsia="仿宋_GB2312" w:cs="Times New Roman"/>
          <w:color w:val="auto"/>
          <w:sz w:val="32"/>
          <w:szCs w:val="32"/>
          <w:highlight w:val="none"/>
        </w:rPr>
        <w:t>严守耕地和永久基本农田保护红线、生态保护红线、城镇开发边界三条控制线</w:t>
      </w:r>
      <w:r>
        <w:rPr>
          <w:rFonts w:hint="eastAsia" w:ascii="Times New Roman" w:hAnsi="Times New Roman" w:eastAsia="仿宋_GB2312" w:cs="Times New Roman"/>
          <w:color w:val="auto"/>
          <w:sz w:val="32"/>
          <w:szCs w:val="32"/>
          <w:highlight w:val="none"/>
          <w:lang w:eastAsia="zh-CN"/>
        </w:rPr>
        <w:t>，</w:t>
      </w:r>
      <w:r>
        <w:rPr>
          <w:rFonts w:hint="eastAsia" w:ascii="仿宋_GB2312" w:hAnsi="宋体" w:eastAsia="仿宋_GB2312" w:cs="仿宋_GB2312"/>
          <w:color w:val="auto"/>
          <w:kern w:val="0"/>
          <w:sz w:val="31"/>
          <w:szCs w:val="31"/>
          <w:lang w:val="en-US" w:eastAsia="zh-CN" w:bidi="ar"/>
        </w:rPr>
        <w:t>对不符合“三区三线”等底线管控要求的，不得进行规划许可，同时书面函告属地人民政府并抄送相关部门。</w:t>
      </w:r>
      <w:r>
        <w:rPr>
          <w:rFonts w:hint="eastAsia" w:ascii="Times New Roman" w:hAnsi="Times New Roman" w:eastAsia="仿宋_GB2312" w:cs="Times New Roman"/>
          <w:color w:val="auto"/>
          <w:sz w:val="32"/>
          <w:szCs w:val="32"/>
          <w:highlight w:val="none"/>
        </w:rPr>
        <w:t>在</w:t>
      </w:r>
      <w:r>
        <w:rPr>
          <w:rFonts w:hint="eastAsia" w:ascii="Times New Roman" w:hAnsi="Times New Roman" w:eastAsia="仿宋_GB2312" w:cs="Times New Roman"/>
          <w:color w:val="auto"/>
          <w:sz w:val="32"/>
          <w:szCs w:val="32"/>
          <w:highlight w:val="none"/>
          <w:lang w:eastAsia="zh-CN"/>
        </w:rPr>
        <w:t>长江、</w:t>
      </w:r>
      <w:r>
        <w:rPr>
          <w:rFonts w:hint="eastAsia" w:ascii="Times New Roman" w:hAnsi="Times New Roman" w:eastAsia="仿宋_GB2312" w:cs="Times New Roman"/>
          <w:color w:val="auto"/>
          <w:sz w:val="32"/>
          <w:szCs w:val="32"/>
          <w:highlight w:val="none"/>
        </w:rPr>
        <w:t>黄河干支流岸线管控范围</w:t>
      </w:r>
      <w:r>
        <w:rPr>
          <w:rFonts w:hint="eastAsia" w:ascii="Times New Roman" w:hAnsi="Times New Roman" w:eastAsia="仿宋_GB2312" w:cs="Times New Roman"/>
          <w:color w:val="auto"/>
          <w:sz w:val="32"/>
          <w:szCs w:val="32"/>
          <w:highlight w:val="none"/>
          <w:lang w:eastAsia="zh-CN"/>
        </w:rPr>
        <w:t>或</w:t>
      </w:r>
      <w:r>
        <w:rPr>
          <w:rFonts w:hint="eastAsia" w:ascii="Times New Roman" w:hAnsi="Times New Roman" w:eastAsia="仿宋_GB2312" w:cs="Times New Roman"/>
          <w:color w:val="auto"/>
          <w:sz w:val="32"/>
          <w:szCs w:val="32"/>
          <w:highlight w:val="none"/>
        </w:rPr>
        <w:t>秦岭生态环境保护区范围内，</w:t>
      </w:r>
      <w:r>
        <w:rPr>
          <w:rFonts w:hint="eastAsia" w:ascii="Times New Roman" w:hAnsi="Times New Roman" w:eastAsia="仿宋_GB2312" w:cs="Times New Roman"/>
          <w:color w:val="auto"/>
          <w:sz w:val="32"/>
          <w:szCs w:val="32"/>
          <w:highlight w:val="none"/>
          <w:lang w:eastAsia="zh-CN"/>
        </w:rPr>
        <w:t>应当依据相关法律法规规定进行开发建设活动。</w:t>
      </w:r>
      <w:r>
        <w:rPr>
          <w:rFonts w:hint="eastAsia" w:ascii="Times New Roman" w:hAnsi="Times New Roman" w:eastAsia="仿宋_GB2312" w:cs="Times New Roman"/>
          <w:color w:val="auto"/>
          <w:sz w:val="32"/>
          <w:szCs w:val="32"/>
          <w:highlight w:val="none"/>
        </w:rPr>
        <w:t>办理建设工程规划许可、乡村建设规划许可，应依据职责将涉及</w:t>
      </w:r>
      <w:r>
        <w:rPr>
          <w:rFonts w:hint="eastAsia" w:ascii="Times New Roman" w:hAnsi="Times New Roman" w:eastAsia="仿宋_GB2312" w:cs="Times New Roman"/>
          <w:color w:val="auto"/>
          <w:sz w:val="32"/>
          <w:szCs w:val="32"/>
          <w:highlight w:val="none"/>
          <w:lang w:eastAsia="zh-CN"/>
        </w:rPr>
        <w:t>规划</w:t>
      </w:r>
      <w:r>
        <w:rPr>
          <w:rFonts w:hint="eastAsia" w:ascii="Times New Roman" w:hAnsi="Times New Roman" w:eastAsia="仿宋_GB2312" w:cs="Times New Roman"/>
          <w:color w:val="auto"/>
          <w:sz w:val="32"/>
          <w:szCs w:val="32"/>
          <w:highlight w:val="none"/>
        </w:rPr>
        <w:t>安全的要素作为重点审查内容，不符合国家有关强制性标准的，不予核发。</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楷体_GB2312" w:hAnsi="楷体_GB2312" w:eastAsia="楷体_GB2312" w:cs="楷体_GB2312"/>
          <w:color w:val="auto"/>
          <w:sz w:val="32"/>
          <w:szCs w:val="32"/>
          <w:highlight w:val="none"/>
          <w:lang w:eastAsia="zh-CN"/>
        </w:rPr>
        <w:t>（六）严格执行规划许可管理规定</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建设用地规划许可证、建设用地使用权</w:t>
      </w:r>
      <w:r>
        <w:rPr>
          <w:rFonts w:hint="eastAsia" w:ascii="Times New Roman" w:hAnsi="Times New Roman" w:eastAsia="仿宋_GB2312" w:cs="Times New Roman"/>
          <w:color w:val="auto"/>
          <w:sz w:val="32"/>
          <w:szCs w:val="32"/>
          <w:highlight w:val="none"/>
          <w:lang w:eastAsia="zh-CN"/>
        </w:rPr>
        <w:t>有偿使用</w:t>
      </w:r>
      <w:r>
        <w:rPr>
          <w:rFonts w:hint="eastAsia" w:ascii="Times New Roman" w:hAnsi="Times New Roman" w:eastAsia="仿宋_GB2312" w:cs="Times New Roman"/>
          <w:color w:val="auto"/>
          <w:sz w:val="32"/>
          <w:szCs w:val="32"/>
          <w:highlight w:val="none"/>
        </w:rPr>
        <w:t>合同、国有建设用地划拨决定书及集体建设用地批准文件明确的宗地土地用途、规划条件应严格一致，不得擅自改变。</w:t>
      </w:r>
      <w:r>
        <w:rPr>
          <w:rFonts w:hint="eastAsia" w:ascii="Times New Roman" w:hAnsi="Times New Roman" w:eastAsia="仿宋_GB2312" w:cs="Times New Roman"/>
          <w:color w:val="auto"/>
          <w:sz w:val="32"/>
          <w:szCs w:val="32"/>
          <w:highlight w:val="none"/>
          <w:lang w:eastAsia="zh-CN"/>
        </w:rPr>
        <w:t>建设工程设计方案总平面图等规划许可附件附图</w:t>
      </w:r>
      <w:r>
        <w:rPr>
          <w:rFonts w:hint="eastAsia" w:ascii="Times New Roman" w:hAnsi="Times New Roman" w:eastAsia="仿宋_GB2312" w:cs="Times New Roman"/>
          <w:color w:val="auto"/>
          <w:sz w:val="32"/>
          <w:szCs w:val="32"/>
          <w:highlight w:val="none"/>
        </w:rPr>
        <w:t>经依法审定后不得随意修改，确需修改的，</w:t>
      </w:r>
      <w:r>
        <w:rPr>
          <w:rFonts w:hint="eastAsia" w:ascii="Times New Roman" w:hAnsi="Times New Roman" w:eastAsia="仿宋_GB2312" w:cs="Times New Roman"/>
          <w:color w:val="auto"/>
          <w:sz w:val="32"/>
          <w:szCs w:val="32"/>
          <w:highlight w:val="none"/>
          <w:lang w:eastAsia="zh-CN"/>
        </w:rPr>
        <w:t>自然资源部门应</w:t>
      </w:r>
      <w:r>
        <w:rPr>
          <w:rFonts w:hint="eastAsia" w:ascii="Times New Roman" w:hAnsi="Times New Roman" w:eastAsia="仿宋_GB2312" w:cs="Times New Roman"/>
          <w:color w:val="auto"/>
          <w:sz w:val="32"/>
          <w:szCs w:val="32"/>
          <w:highlight w:val="none"/>
        </w:rPr>
        <w:t>采取听证会等形式听取利害关系人的意见，并依法办理相应的变更手续。不得以集体讨论、会议决定等非法定方式替代或改变规划许可。未依法依规取得规划许可，不得实施新建、改建、扩建工程。</w:t>
      </w:r>
      <w:r>
        <w:rPr>
          <w:rFonts w:hint="eastAsia" w:ascii="Times New Roman" w:hAnsi="Times New Roman" w:eastAsia="仿宋_GB2312" w:cs="Times New Roman"/>
          <w:color w:val="auto"/>
          <w:sz w:val="32"/>
          <w:szCs w:val="32"/>
          <w:highlight w:val="none"/>
          <w:lang w:eastAsia="zh-CN"/>
        </w:rPr>
        <w:t>规划许可应</w:t>
      </w:r>
      <w:r>
        <w:rPr>
          <w:rFonts w:hint="eastAsia" w:ascii="仿宋_GB2312" w:hAnsi="仿宋" w:eastAsia="仿宋_GB2312" w:cs="仿宋"/>
          <w:color w:val="auto"/>
          <w:sz w:val="32"/>
          <w:szCs w:val="32"/>
          <w:highlight w:val="none"/>
          <w:lang w:eastAsia="zh-CN"/>
        </w:rPr>
        <w:t>在</w:t>
      </w:r>
      <w:r>
        <w:rPr>
          <w:rFonts w:hint="eastAsia" w:ascii="仿宋_GB2312" w:hAnsi="仿宋" w:eastAsia="仿宋_GB2312" w:cs="仿宋"/>
          <w:color w:val="auto"/>
          <w:sz w:val="32"/>
          <w:szCs w:val="32"/>
          <w:highlight w:val="none"/>
          <w:lang w:val="en-US" w:eastAsia="zh-CN"/>
        </w:rPr>
        <w:t>10个工作日内办结，特殊原因确需延长的，总时长不应超过20个</w:t>
      </w:r>
      <w:r>
        <w:rPr>
          <w:rFonts w:hint="eastAsia" w:ascii="Times New Roman" w:hAnsi="Times New Roman" w:eastAsia="仿宋_GB2312" w:cs="Times New Roman"/>
          <w:color w:val="auto"/>
          <w:sz w:val="32"/>
          <w:szCs w:val="32"/>
          <w:highlight w:val="none"/>
          <w:lang w:val="en-US" w:eastAsia="zh-CN"/>
        </w:rPr>
        <w:t>工作日。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三、加强建设工程规划许可</w:t>
      </w:r>
      <w:r>
        <w:rPr>
          <w:rFonts w:hint="eastAsia" w:ascii="黑体" w:hAnsi="黑体" w:eastAsia="黑体" w:cs="黑体"/>
          <w:color w:val="auto"/>
          <w:sz w:val="32"/>
          <w:szCs w:val="32"/>
          <w:highlight w:val="none"/>
        </w:rPr>
        <w:t>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eastAsia="zh-CN"/>
        </w:rPr>
        <w:t>七</w:t>
      </w: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eastAsia="zh-CN"/>
        </w:rPr>
        <w:t>强化建设工程设计</w:t>
      </w:r>
      <w:bookmarkStart w:id="0" w:name="_GoBack"/>
      <w:bookmarkEnd w:id="0"/>
      <w:r>
        <w:rPr>
          <w:rFonts w:hint="eastAsia" w:ascii="楷体_GB2312" w:hAnsi="楷体_GB2312" w:eastAsia="楷体_GB2312" w:cs="楷体_GB2312"/>
          <w:color w:val="auto"/>
          <w:sz w:val="32"/>
          <w:szCs w:val="32"/>
          <w:highlight w:val="none"/>
          <w:lang w:eastAsia="zh-CN"/>
        </w:rPr>
        <w:t>方案审查</w:t>
      </w:r>
      <w:r>
        <w:rPr>
          <w:rFonts w:hint="eastAsia" w:ascii="楷体_GB2312" w:hAnsi="楷体_GB2312" w:eastAsia="楷体_GB2312" w:cs="楷体_GB2312"/>
          <w:color w:val="auto"/>
          <w:sz w:val="32"/>
          <w:szCs w:val="32"/>
          <w:highlight w:val="none"/>
        </w:rPr>
        <w:t>。</w:t>
      </w:r>
      <w:r>
        <w:rPr>
          <w:rFonts w:hint="eastAsia" w:ascii="Times New Roman" w:hAnsi="Times New Roman" w:eastAsia="仿宋_GB2312" w:cs="Times New Roman"/>
          <w:color w:val="auto"/>
          <w:sz w:val="32"/>
          <w:szCs w:val="32"/>
          <w:highlight w:val="none"/>
        </w:rPr>
        <w:t>市、县自然资源主管部门应</w:t>
      </w:r>
      <w:r>
        <w:rPr>
          <w:rFonts w:hint="eastAsia" w:ascii="Times New Roman" w:hAnsi="Times New Roman" w:eastAsia="仿宋_GB2312" w:cs="Times New Roman"/>
          <w:color w:val="auto"/>
          <w:sz w:val="32"/>
          <w:szCs w:val="32"/>
          <w:highlight w:val="none"/>
          <w:lang w:eastAsia="zh-CN"/>
        </w:rPr>
        <w:t>按照《自然资源部主管的行政许可事项实施规范》</w:t>
      </w:r>
      <w:r>
        <w:rPr>
          <w:rFonts w:hint="eastAsia" w:ascii="Times New Roman" w:hAnsi="Times New Roman" w:eastAsia="仿宋_GB2312" w:cs="Times New Roman"/>
          <w:color w:val="auto"/>
          <w:sz w:val="32"/>
          <w:szCs w:val="32"/>
          <w:highlight w:val="none"/>
        </w:rPr>
        <w:t>制定建设</w:t>
      </w:r>
      <w:r>
        <w:rPr>
          <w:rFonts w:hint="eastAsia" w:ascii="Times New Roman" w:hAnsi="Times New Roman" w:eastAsia="仿宋_GB2312" w:cs="Times New Roman"/>
          <w:color w:val="auto"/>
          <w:sz w:val="32"/>
          <w:szCs w:val="32"/>
          <w:highlight w:val="none"/>
          <w:u w:val="none"/>
        </w:rPr>
        <w:t>工程设计方案审查规则，明确</w:t>
      </w:r>
      <w:r>
        <w:rPr>
          <w:rFonts w:hint="eastAsia" w:ascii="Times New Roman" w:hAnsi="Times New Roman" w:eastAsia="仿宋_GB2312" w:cs="Times New Roman"/>
          <w:color w:val="auto"/>
          <w:sz w:val="32"/>
          <w:szCs w:val="32"/>
          <w:highlight w:val="none"/>
          <w:u w:val="none"/>
          <w:lang w:eastAsia="zh-CN"/>
        </w:rPr>
        <w:t>需要开展现场勘验、组织听证、</w:t>
      </w:r>
      <w:r>
        <w:rPr>
          <w:rFonts w:hint="eastAsia" w:ascii="Times New Roman" w:hAnsi="Times New Roman" w:eastAsia="仿宋_GB2312" w:cs="Times New Roman"/>
          <w:color w:val="auto"/>
          <w:sz w:val="32"/>
          <w:szCs w:val="32"/>
          <w:highlight w:val="none"/>
          <w:u w:val="none"/>
        </w:rPr>
        <w:t>委托服务机构开展技术性服务</w:t>
      </w:r>
      <w:r>
        <w:rPr>
          <w:rFonts w:hint="eastAsia" w:ascii="Times New Roman" w:hAnsi="Times New Roman" w:eastAsia="仿宋_GB2312" w:cs="Times New Roman"/>
          <w:color w:val="auto"/>
          <w:sz w:val="32"/>
          <w:szCs w:val="32"/>
          <w:highlight w:val="none"/>
          <w:u w:val="none"/>
          <w:lang w:eastAsia="zh-CN"/>
        </w:rPr>
        <w:t>等事项</w:t>
      </w:r>
      <w:r>
        <w:rPr>
          <w:rFonts w:hint="eastAsia" w:ascii="Times New Roman" w:hAnsi="Times New Roman" w:eastAsia="仿宋_GB2312" w:cs="Times New Roman"/>
          <w:color w:val="auto"/>
          <w:sz w:val="32"/>
          <w:szCs w:val="32"/>
          <w:highlight w:val="none"/>
          <w:u w:val="none"/>
        </w:rPr>
        <w:t>的情形，并向社会公布。</w:t>
      </w:r>
      <w:r>
        <w:rPr>
          <w:rFonts w:hint="eastAsia" w:ascii="Times New Roman" w:hAnsi="Times New Roman" w:eastAsia="仿宋_GB2312"/>
          <w:color w:val="auto"/>
          <w:sz w:val="32"/>
          <w:szCs w:val="32"/>
          <w:highlight w:val="none"/>
        </w:rPr>
        <w:t>涉及联合审查的，应按照“并联审查，限时办结”的原则，组织协调相关部门开展</w:t>
      </w:r>
      <w:r>
        <w:rPr>
          <w:rFonts w:hint="eastAsia" w:ascii="Times New Roman" w:hAnsi="Times New Roman" w:eastAsia="仿宋_GB2312"/>
          <w:color w:val="auto"/>
          <w:sz w:val="32"/>
          <w:szCs w:val="32"/>
          <w:highlight w:val="none"/>
          <w:lang w:eastAsia="zh-CN"/>
        </w:rPr>
        <w:t>建设工程</w:t>
      </w:r>
      <w:r>
        <w:rPr>
          <w:rFonts w:hint="eastAsia" w:ascii="Times New Roman" w:hAnsi="Times New Roman" w:eastAsia="仿宋_GB2312"/>
          <w:color w:val="auto"/>
          <w:sz w:val="32"/>
          <w:szCs w:val="32"/>
          <w:highlight w:val="none"/>
        </w:rPr>
        <w:t>设计方案联合审查</w:t>
      </w:r>
      <w:r>
        <w:rPr>
          <w:rFonts w:hint="eastAsia" w:ascii="Times New Roman" w:hAnsi="Times New Roman" w:eastAsia="仿宋_GB2312"/>
          <w:color w:val="auto"/>
          <w:sz w:val="32"/>
          <w:szCs w:val="32"/>
          <w:highlight w:val="none"/>
          <w:lang w:eastAsia="zh-CN"/>
        </w:rPr>
        <w:t>，在规划许可阶段</w:t>
      </w:r>
      <w:r>
        <w:rPr>
          <w:rFonts w:hint="eastAsia" w:ascii="Times New Roman" w:hAnsi="Times New Roman" w:eastAsia="仿宋_GB2312"/>
          <w:color w:val="auto"/>
          <w:sz w:val="32"/>
          <w:szCs w:val="32"/>
          <w:highlight w:val="none"/>
        </w:rPr>
        <w:t>不对设计方案进行工程技术审核。</w:t>
      </w:r>
      <w:r>
        <w:rPr>
          <w:rFonts w:hint="eastAsia" w:ascii="Times New Roman" w:hAnsi="Times New Roman" w:eastAsia="仿宋_GB2312" w:cs="Times New Roman"/>
          <w:color w:val="auto"/>
          <w:sz w:val="32"/>
          <w:szCs w:val="32"/>
          <w:highlight w:val="none"/>
        </w:rPr>
        <w:t>对于依据部门法律法规规定纳入规划条件或建设工程设计方案的非空间治理内容，由提出要求的有关部门和单位负责审查并监督实施。按照本级人民政府的相关规定，建设工程规划许可在行政审批服务部门办理的，自然资源主管部门必须对建设工程设计方案等基础资料进行实质性审查，</w:t>
      </w:r>
      <w:r>
        <w:rPr>
          <w:rFonts w:hint="eastAsia" w:ascii="Times New Roman" w:hAnsi="Times New Roman" w:eastAsia="仿宋_GB2312" w:cs="Times New Roman"/>
          <w:color w:val="auto"/>
          <w:sz w:val="32"/>
          <w:szCs w:val="32"/>
          <w:highlight w:val="none"/>
          <w:lang w:eastAsia="zh-CN"/>
        </w:rPr>
        <w:t>并严格按照行政审批程序经局务会会议审议后</w:t>
      </w:r>
      <w:r>
        <w:rPr>
          <w:rFonts w:hint="eastAsia" w:ascii="Times New Roman" w:hAnsi="Times New Roman" w:eastAsia="仿宋_GB2312" w:cs="Times New Roman"/>
          <w:color w:val="auto"/>
          <w:sz w:val="32"/>
          <w:szCs w:val="32"/>
          <w:highlight w:val="none"/>
        </w:rPr>
        <w:t>出具书面审查意见，作为核发证书的前置要件。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auto"/>
          <w:sz w:val="32"/>
          <w:szCs w:val="32"/>
          <w:highlight w:val="none"/>
        </w:rPr>
      </w:pPr>
      <w:r>
        <w:rPr>
          <w:rFonts w:hint="eastAsia" w:ascii="楷体_GB2312" w:hAnsi="楷体_GB2312" w:eastAsia="楷体_GB2312" w:cs="楷体_GB2312"/>
          <w:color w:val="auto"/>
          <w:sz w:val="32"/>
          <w:szCs w:val="32"/>
          <w:highlight w:val="none"/>
          <w:lang w:eastAsia="zh-CN"/>
        </w:rPr>
        <w:t>（八）严格房屋建筑工程规划审查。</w:t>
      </w:r>
      <w:r>
        <w:rPr>
          <w:rFonts w:hint="eastAsia" w:ascii="Times New Roman" w:hAnsi="Times New Roman" w:eastAsia="仿宋_GB2312" w:cs="Times New Roman"/>
          <w:color w:val="auto"/>
          <w:sz w:val="32"/>
          <w:szCs w:val="32"/>
          <w:highlight w:val="none"/>
        </w:rPr>
        <w:t>对多宗出让地块实施统一规划的，相关指标应符合各宗地地块出让合同附具的规划条件，不得通过统一规划规避容积率等控制指标和配套要求。</w:t>
      </w:r>
      <w:r>
        <w:rPr>
          <w:rFonts w:hint="eastAsia" w:ascii="Times New Roman" w:hAnsi="Times New Roman" w:eastAsia="仿宋_GB2312" w:cs="Times New Roman"/>
          <w:color w:val="auto"/>
          <w:sz w:val="32"/>
          <w:szCs w:val="32"/>
          <w:highlight w:val="none"/>
          <w:u w:val="none"/>
          <w:lang w:eastAsia="zh-CN"/>
        </w:rPr>
        <w:t>不得通过多地块、同一地块不同部分之间统一核算容积率，降低部分地块或局部区域开发强度、建筑高度等“高低配”方式，为建设别墅、私家庄园创造条件。</w:t>
      </w:r>
      <w:r>
        <w:rPr>
          <w:rFonts w:hint="eastAsia" w:ascii="Times New Roman" w:hAnsi="Times New Roman" w:eastAsia="仿宋_GB2312" w:cs="Times New Roman"/>
          <w:color w:val="auto"/>
          <w:sz w:val="32"/>
          <w:szCs w:val="32"/>
          <w:highlight w:val="none"/>
        </w:rPr>
        <w:t>建设单位可以在整体设计方案的基础上，分期申请建设工程规划许可证，每期建设内容均应符合建设工程设计方案的总平面图，并包括相应的绿地</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配套设施；住宅项目配套的</w:t>
      </w:r>
      <w:r>
        <w:rPr>
          <w:rFonts w:hint="eastAsia" w:ascii="Times New Roman" w:hAnsi="Times New Roman" w:eastAsia="仿宋_GB2312" w:cs="Times New Roman"/>
          <w:color w:val="auto"/>
          <w:sz w:val="32"/>
          <w:szCs w:val="32"/>
          <w:highlight w:val="none"/>
          <w:lang w:eastAsia="zh-CN"/>
        </w:rPr>
        <w:t>托育服务、养老服务、社区办公用房等设施以及集中布设的配套设施</w:t>
      </w:r>
      <w:r>
        <w:rPr>
          <w:rFonts w:hint="eastAsia" w:ascii="Times New Roman" w:hAnsi="Times New Roman" w:eastAsia="仿宋_GB2312" w:cs="Times New Roman"/>
          <w:color w:val="auto"/>
          <w:sz w:val="32"/>
          <w:szCs w:val="32"/>
          <w:highlight w:val="none"/>
        </w:rPr>
        <w:t>必须与首期项目同步规划、同步建设、同步</w:t>
      </w:r>
      <w:r>
        <w:rPr>
          <w:rFonts w:hint="eastAsia" w:ascii="Times New Roman" w:hAnsi="Times New Roman" w:eastAsia="仿宋_GB2312" w:cs="Times New Roman"/>
          <w:color w:val="auto"/>
          <w:sz w:val="32"/>
          <w:szCs w:val="32"/>
          <w:highlight w:val="none"/>
          <w:lang w:eastAsia="zh-CN"/>
        </w:rPr>
        <w:t>办理规划核实手续</w:t>
      </w:r>
      <w:r>
        <w:rPr>
          <w:rFonts w:hint="eastAsia"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highlight w:val="none"/>
          <w:lang w:eastAsia="zh-CN"/>
        </w:rPr>
      </w:pP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eastAsia="zh-CN"/>
        </w:rPr>
        <w:t>九</w:t>
      </w:r>
      <w:r>
        <w:rPr>
          <w:rFonts w:hint="eastAsia" w:ascii="楷体_GB2312" w:hAnsi="楷体_GB2312" w:eastAsia="楷体_GB2312" w:cs="楷体_GB2312"/>
          <w:color w:val="auto"/>
          <w:sz w:val="32"/>
          <w:szCs w:val="32"/>
          <w:highlight w:val="none"/>
        </w:rPr>
        <w:t>）完善豁免清单</w:t>
      </w:r>
      <w:r>
        <w:rPr>
          <w:rFonts w:hint="eastAsia" w:ascii="楷体_GB2312" w:hAnsi="楷体_GB2312" w:eastAsia="楷体_GB2312" w:cs="楷体_GB2312"/>
          <w:color w:val="auto"/>
          <w:sz w:val="32"/>
          <w:szCs w:val="32"/>
          <w:highlight w:val="none"/>
          <w:lang w:eastAsia="zh-CN"/>
        </w:rPr>
        <w:t>和告知承诺制</w:t>
      </w:r>
      <w:r>
        <w:rPr>
          <w:rFonts w:hint="eastAsia" w:ascii="楷体_GB2312" w:hAnsi="楷体_GB2312" w:eastAsia="楷体_GB2312" w:cs="楷体_GB2312"/>
          <w:color w:val="auto"/>
          <w:sz w:val="32"/>
          <w:szCs w:val="32"/>
          <w:highlight w:val="none"/>
        </w:rPr>
        <w:t>。</w:t>
      </w:r>
      <w:r>
        <w:rPr>
          <w:rFonts w:ascii="Times New Roman" w:hAnsi="Times New Roman" w:eastAsia="仿宋_GB2312" w:cs="Times New Roman"/>
          <w:color w:val="auto"/>
          <w:sz w:val="32"/>
          <w:highlight w:val="none"/>
        </w:rPr>
        <w:t>各市、县自然资源主管部门应充分结合本地实际，健全建设工程规划许可豁免</w:t>
      </w:r>
      <w:r>
        <w:rPr>
          <w:rFonts w:hint="eastAsia" w:ascii="Times New Roman" w:hAnsi="Times New Roman" w:eastAsia="仿宋_GB2312" w:cs="Times New Roman"/>
          <w:color w:val="auto"/>
          <w:sz w:val="32"/>
          <w:highlight w:val="none"/>
          <w:lang w:eastAsia="zh-CN"/>
        </w:rPr>
        <w:t>和告知承诺</w:t>
      </w:r>
      <w:r>
        <w:rPr>
          <w:rFonts w:ascii="Times New Roman" w:hAnsi="Times New Roman" w:eastAsia="仿宋_GB2312" w:cs="Times New Roman"/>
          <w:color w:val="auto"/>
          <w:sz w:val="32"/>
          <w:highlight w:val="none"/>
        </w:rPr>
        <w:t>制度，</w:t>
      </w:r>
      <w:r>
        <w:rPr>
          <w:rFonts w:hint="eastAsia" w:ascii="Times New Roman" w:hAnsi="Times New Roman" w:eastAsia="仿宋_GB2312" w:cs="Times New Roman"/>
          <w:color w:val="auto"/>
          <w:sz w:val="32"/>
          <w:highlight w:val="none"/>
          <w:lang w:eastAsia="zh-CN"/>
        </w:rPr>
        <w:t>经本级人民政府批准后</w:t>
      </w:r>
      <w:r>
        <w:rPr>
          <w:rFonts w:ascii="Times New Roman" w:hAnsi="Times New Roman" w:eastAsia="仿宋_GB2312" w:cs="Times New Roman"/>
          <w:color w:val="auto"/>
          <w:sz w:val="32"/>
          <w:highlight w:val="none"/>
        </w:rPr>
        <w:t>及时公布。对符合国土空间规划和相关技术标准、规范，在不影响周边交通组织、公共设施使用和利害关系人合法权益、不改变建筑主体结构、不破坏景观环境、保证公共安全和公共利益的前提下，对老旧小区微改造、城市公共空间服务功能提升等微更新项目，可纳入豁免清单管理。</w:t>
      </w:r>
      <w:r>
        <w:rPr>
          <w:rFonts w:hint="eastAsia" w:ascii="Times New Roman" w:hAnsi="Times New Roman" w:eastAsia="仿宋_GB2312" w:cs="Times New Roman"/>
          <w:color w:val="auto"/>
          <w:sz w:val="32"/>
          <w:highlight w:val="none"/>
          <w:lang w:eastAsia="zh-CN"/>
        </w:rPr>
        <w:t>各地还可区分项目类型、风险程度，按照利企便民的原则探索建设工程规划许可告知承诺制，明确提交材料的要求、承诺的具体内容以及违反承诺应承担的法律责任。申请人以书面形式作出承诺的，可由审批部门直接作出许可决定，并在规定时间内对申请人履行承诺情况进行核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四、规范开展规划核实</w:t>
      </w:r>
    </w:p>
    <w:p>
      <w:pPr>
        <w:keepNext w:val="0"/>
        <w:keepLines w:val="0"/>
        <w:pageBreakBefore w:val="0"/>
        <w:numPr>
          <w:ins w:id="0" w:author="漠月" w:date=""/>
        </w:numPr>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eastAsia="zh-CN"/>
        </w:rPr>
        <w:t>十</w:t>
      </w:r>
      <w:r>
        <w:rPr>
          <w:rFonts w:hint="eastAsia" w:ascii="楷体_GB2312" w:hAnsi="楷体_GB2312" w:eastAsia="楷体_GB2312" w:cs="楷体_GB2312"/>
          <w:color w:val="auto"/>
          <w:sz w:val="32"/>
          <w:szCs w:val="32"/>
          <w:highlight w:val="none"/>
        </w:rPr>
        <w:t>）按照规划条件开展规划核实。</w:t>
      </w:r>
      <w:r>
        <w:rPr>
          <w:rFonts w:hint="eastAsia" w:ascii="Times New Roman" w:hAnsi="Times New Roman" w:eastAsia="仿宋_GB2312" w:cs="Times New Roman"/>
          <w:color w:val="auto"/>
          <w:sz w:val="32"/>
          <w:highlight w:val="none"/>
        </w:rPr>
        <w:t>依据</w:t>
      </w:r>
      <w:r>
        <w:rPr>
          <w:rFonts w:hint="eastAsia" w:ascii="Times New Roman" w:hAnsi="Times New Roman" w:eastAsia="仿宋_GB2312" w:cs="Times New Roman"/>
          <w:color w:val="auto"/>
          <w:sz w:val="32"/>
          <w:highlight w:val="none"/>
          <w:lang w:eastAsia="zh-CN"/>
        </w:rPr>
        <w:t>有测绘资质测量单位出具的建设工程竣工规划实测成果</w:t>
      </w:r>
      <w:r>
        <w:rPr>
          <w:rFonts w:hint="eastAsia" w:ascii="Times New Roman" w:hAnsi="Times New Roman" w:eastAsia="仿宋_GB2312" w:cs="Times New Roman"/>
          <w:color w:val="auto"/>
          <w:sz w:val="32"/>
          <w:szCs w:val="32"/>
          <w:highlight w:val="none"/>
        </w:rPr>
        <w:t>，对建设工程是否符合规划条件</w:t>
      </w:r>
      <w:r>
        <w:rPr>
          <w:rFonts w:hint="eastAsia" w:ascii="Times New Roman" w:hAnsi="Times New Roman" w:eastAsia="仿宋_GB2312" w:cs="Times New Roman"/>
          <w:color w:val="auto"/>
          <w:sz w:val="32"/>
          <w:szCs w:val="32"/>
          <w:highlight w:val="none"/>
          <w:lang w:eastAsia="zh-CN"/>
        </w:rPr>
        <w:t>和规划许可</w:t>
      </w:r>
      <w:r>
        <w:rPr>
          <w:rFonts w:hint="eastAsia" w:ascii="Times New Roman" w:hAnsi="Times New Roman" w:eastAsia="仿宋_GB2312" w:cs="Times New Roman"/>
          <w:color w:val="auto"/>
          <w:sz w:val="32"/>
          <w:szCs w:val="32"/>
          <w:highlight w:val="none"/>
        </w:rPr>
        <w:t>予以核实，市、县自然资源主管部门可结合实际确定通过规划核实</w:t>
      </w:r>
      <w:r>
        <w:rPr>
          <w:rFonts w:hint="eastAsia" w:ascii="Times New Roman" w:hAnsi="Times New Roman" w:eastAsia="仿宋_GB2312" w:cs="Times New Roman"/>
          <w:color w:val="auto"/>
          <w:sz w:val="32"/>
          <w:szCs w:val="32"/>
          <w:highlight w:val="none"/>
          <w:lang w:eastAsia="zh-CN"/>
        </w:rPr>
        <w:t>允许</w:t>
      </w:r>
      <w:r>
        <w:rPr>
          <w:rFonts w:hint="eastAsia" w:ascii="Times New Roman" w:hAnsi="Times New Roman" w:eastAsia="仿宋_GB2312" w:cs="Times New Roman"/>
          <w:color w:val="auto"/>
          <w:sz w:val="32"/>
          <w:szCs w:val="32"/>
          <w:highlight w:val="none"/>
        </w:rPr>
        <w:t>误差的标准和条件。</w:t>
      </w:r>
      <w:r>
        <w:rPr>
          <w:rFonts w:hint="eastAsia" w:ascii="Times New Roman" w:hAnsi="Times New Roman" w:eastAsia="仿宋_GB2312" w:cs="Times New Roman"/>
          <w:color w:val="auto"/>
          <w:sz w:val="32"/>
          <w:szCs w:val="32"/>
          <w:highlight w:val="none"/>
          <w:lang w:eastAsia="zh-CN"/>
        </w:rPr>
        <w:t>非空间治理内容不纳入规划核实范围，在竣工验收阶段由住建部门牵头组织提出部门或单位联合验收。</w:t>
      </w:r>
      <w:r>
        <w:rPr>
          <w:rFonts w:hint="eastAsia" w:ascii="Times New Roman" w:hAnsi="Times New Roman" w:eastAsia="仿宋_GB2312" w:cs="Times New Roman"/>
          <w:color w:val="auto"/>
          <w:sz w:val="32"/>
          <w:szCs w:val="32"/>
          <w:highlight w:val="none"/>
        </w:rPr>
        <w:t>规划核实必须两人以上现场审核并全过程记录，核实结果及时公开，通过规划核实的纳入国土空间规划“一张图”实施监督信息系统。不得借规划核实规避违法建设认定和行政处罚，将违法建设合法化。未取得或</w:t>
      </w:r>
      <w:r>
        <w:rPr>
          <w:rFonts w:hint="eastAsia" w:ascii="Times New Roman" w:hAnsi="Times New Roman" w:eastAsia="仿宋_GB2312" w:cs="Times New Roman"/>
          <w:color w:val="auto"/>
          <w:sz w:val="32"/>
          <w:szCs w:val="32"/>
          <w:highlight w:val="none"/>
          <w:lang w:eastAsia="zh-CN"/>
        </w:rPr>
        <w:t>未按照</w:t>
      </w:r>
      <w:r>
        <w:rPr>
          <w:rFonts w:hint="eastAsia" w:ascii="Times New Roman" w:hAnsi="Times New Roman" w:eastAsia="仿宋_GB2312" w:cs="Times New Roman"/>
          <w:color w:val="auto"/>
          <w:sz w:val="32"/>
          <w:szCs w:val="32"/>
          <w:highlight w:val="none"/>
        </w:rPr>
        <w:t>建设工程规划许可进行建设的项目，</w:t>
      </w:r>
      <w:r>
        <w:rPr>
          <w:rFonts w:hint="eastAsia" w:ascii="Times New Roman" w:hAnsi="Times New Roman" w:eastAsia="仿宋_GB2312" w:cs="Times New Roman"/>
          <w:color w:val="auto"/>
          <w:sz w:val="32"/>
          <w:szCs w:val="32"/>
          <w:highlight w:val="none"/>
          <w:lang w:eastAsia="zh-CN"/>
        </w:rPr>
        <w:t>无法采取改正措施消除对规划实施影响的，</w:t>
      </w:r>
      <w:r>
        <w:rPr>
          <w:rFonts w:hint="eastAsia" w:ascii="Times New Roman" w:hAnsi="Times New Roman" w:eastAsia="仿宋_GB2312" w:cs="Times New Roman"/>
          <w:color w:val="auto"/>
          <w:sz w:val="32"/>
          <w:szCs w:val="32"/>
          <w:highlight w:val="none"/>
        </w:rPr>
        <w:t>不得通过规划核实。</w:t>
      </w:r>
      <w:r>
        <w:rPr>
          <w:rFonts w:hint="eastAsia" w:ascii="Times New Roman" w:hAnsi="Times New Roman" w:eastAsia="仿宋_GB2312" w:cs="Times New Roman"/>
          <w:color w:val="auto"/>
          <w:sz w:val="32"/>
          <w:szCs w:val="32"/>
          <w:highlight w:val="none"/>
          <w:lang w:eastAsia="zh-CN"/>
        </w:rPr>
        <w:t>以</w:t>
      </w:r>
      <w:r>
        <w:rPr>
          <w:rFonts w:hint="eastAsia" w:ascii="Times New Roman" w:hAnsi="Times New Roman" w:eastAsia="仿宋_GB2312" w:cs="Times New Roman"/>
          <w:color w:val="auto"/>
          <w:sz w:val="32"/>
          <w:szCs w:val="32"/>
          <w:highlight w:val="none"/>
        </w:rPr>
        <w:t>隐瞒手段骗取通过规划核实或违法违规通过规划核实的，应依法纠正规划核实意见。未通过规划核实</w:t>
      </w:r>
      <w:r>
        <w:rPr>
          <w:rFonts w:hint="eastAsia" w:ascii="Times New Roman" w:hAnsi="Times New Roman" w:eastAsia="仿宋_GB2312" w:cs="Times New Roman"/>
          <w:color w:val="auto"/>
          <w:sz w:val="32"/>
          <w:szCs w:val="32"/>
          <w:highlight w:val="none"/>
          <w:lang w:eastAsia="zh-CN"/>
        </w:rPr>
        <w:t>或</w:t>
      </w:r>
      <w:r>
        <w:rPr>
          <w:rFonts w:hint="eastAsia" w:ascii="Times New Roman" w:hAnsi="Times New Roman" w:eastAsia="仿宋_GB2312" w:cs="Times New Roman"/>
          <w:color w:val="auto"/>
          <w:sz w:val="32"/>
          <w:szCs w:val="32"/>
          <w:highlight w:val="none"/>
        </w:rPr>
        <w:t>不符合其他法定登记条件的，不予办理不动产登记。</w:t>
      </w:r>
    </w:p>
    <w:p>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lang w:eastAsia="zh-CN"/>
        </w:rPr>
        <w:t>（十一）规范分期规划核实。</w:t>
      </w:r>
      <w:r>
        <w:rPr>
          <w:rFonts w:hint="eastAsia" w:ascii="仿宋_GB2312" w:hAnsi="仿宋_GB2312" w:eastAsia="仿宋_GB2312" w:cs="仿宋_GB2312"/>
          <w:b w:val="0"/>
          <w:bCs w:val="0"/>
          <w:i w:val="0"/>
          <w:iCs w:val="0"/>
          <w:color w:val="auto"/>
          <w:spacing w:val="0"/>
          <w:sz w:val="32"/>
          <w:szCs w:val="32"/>
          <w:highlight w:val="none"/>
        </w:rPr>
        <w:t>建设工程规划核实原则上以建设工程规划许可证对应的用地范围为单元组织。对</w:t>
      </w:r>
      <w:r>
        <w:rPr>
          <w:rFonts w:hint="eastAsia" w:ascii="仿宋_GB2312" w:hAnsi="仿宋_GB2312" w:eastAsia="仿宋_GB2312" w:cs="仿宋_GB2312"/>
          <w:b w:val="0"/>
          <w:bCs w:val="0"/>
          <w:i w:val="0"/>
          <w:iCs w:val="0"/>
          <w:color w:val="auto"/>
          <w:spacing w:val="0"/>
          <w:sz w:val="32"/>
          <w:szCs w:val="32"/>
          <w:highlight w:val="none"/>
          <w:u w:val="none"/>
        </w:rPr>
        <w:t>办理一本</w:t>
      </w:r>
      <w:r>
        <w:rPr>
          <w:rFonts w:hint="eastAsia" w:ascii="仿宋_GB2312" w:hAnsi="仿宋_GB2312" w:eastAsia="仿宋_GB2312" w:cs="仿宋_GB2312"/>
          <w:b w:val="0"/>
          <w:bCs w:val="0"/>
          <w:i w:val="0"/>
          <w:iCs w:val="0"/>
          <w:color w:val="auto"/>
          <w:spacing w:val="0"/>
          <w:sz w:val="32"/>
          <w:szCs w:val="32"/>
          <w:highlight w:val="none"/>
        </w:rPr>
        <w:t>建设工程规划许可证</w:t>
      </w:r>
      <w:r>
        <w:rPr>
          <w:rFonts w:hint="eastAsia" w:ascii="仿宋_GB2312" w:hAnsi="仿宋_GB2312" w:eastAsia="仿宋_GB2312" w:cs="仿宋_GB2312"/>
          <w:b w:val="0"/>
          <w:bCs w:val="0"/>
          <w:i w:val="0"/>
          <w:iCs w:val="0"/>
          <w:color w:val="auto"/>
          <w:spacing w:val="0"/>
          <w:sz w:val="32"/>
          <w:szCs w:val="32"/>
          <w:highlight w:val="none"/>
          <w:lang w:eastAsia="zh-CN"/>
        </w:rPr>
        <w:t>书</w:t>
      </w:r>
      <w:r>
        <w:rPr>
          <w:rFonts w:hint="eastAsia" w:ascii="仿宋_GB2312" w:hAnsi="仿宋_GB2312" w:eastAsia="仿宋_GB2312" w:cs="仿宋_GB2312"/>
          <w:b w:val="0"/>
          <w:bCs w:val="0"/>
          <w:i w:val="0"/>
          <w:iCs w:val="0"/>
          <w:color w:val="auto"/>
          <w:spacing w:val="0"/>
          <w:sz w:val="32"/>
          <w:szCs w:val="32"/>
          <w:highlight w:val="none"/>
        </w:rPr>
        <w:t>的保障性住房、</w:t>
      </w:r>
      <w:r>
        <w:rPr>
          <w:rFonts w:hint="eastAsia" w:ascii="仿宋_GB2312" w:hAnsi="仿宋_GB2312" w:eastAsia="仿宋_GB2312" w:cs="仿宋_GB2312"/>
          <w:b w:val="0"/>
          <w:bCs w:val="0"/>
          <w:i w:val="0"/>
          <w:iCs w:val="0"/>
          <w:color w:val="auto"/>
          <w:spacing w:val="0"/>
          <w:sz w:val="32"/>
          <w:szCs w:val="32"/>
          <w:highlight w:val="none"/>
          <w:lang w:eastAsia="zh-CN"/>
        </w:rPr>
        <w:t>公益性项目、</w:t>
      </w:r>
      <w:r>
        <w:rPr>
          <w:rFonts w:hint="eastAsia" w:ascii="仿宋_GB2312" w:hAnsi="仿宋_GB2312" w:eastAsia="仿宋_GB2312" w:cs="仿宋_GB2312"/>
          <w:b w:val="0"/>
          <w:bCs w:val="0"/>
          <w:i w:val="0"/>
          <w:iCs w:val="0"/>
          <w:color w:val="auto"/>
          <w:spacing w:val="0"/>
          <w:sz w:val="32"/>
          <w:szCs w:val="32"/>
          <w:highlight w:val="none"/>
        </w:rPr>
        <w:t>制造业建设项目（生产、储存、经营易燃易爆危险物品、危险化学品的场所及关系国家安全和生态安全的项目除外）及国家或省级以上政策允许分次办理的其他建设项目，在工程设计方案中已经明确位置、范围、建筑规模且具有独立使用功能的，经建设（消防）、安全等验收（备案）部门及水电气网等企事业单位共同确认后，可以分次进行规划核实，最后一次</w:t>
      </w:r>
      <w:r>
        <w:rPr>
          <w:rFonts w:hint="eastAsia" w:ascii="仿宋_GB2312" w:hAnsi="仿宋_GB2312" w:eastAsia="仿宋_GB2312" w:cs="仿宋_GB2312"/>
          <w:b w:val="0"/>
          <w:bCs w:val="0"/>
          <w:i w:val="0"/>
          <w:iCs w:val="0"/>
          <w:color w:val="auto"/>
          <w:spacing w:val="0"/>
          <w:sz w:val="32"/>
          <w:szCs w:val="32"/>
          <w:highlight w:val="none"/>
          <w:lang w:eastAsia="zh-CN"/>
        </w:rPr>
        <w:t>对项目</w:t>
      </w:r>
      <w:r>
        <w:rPr>
          <w:rFonts w:hint="eastAsia" w:ascii="仿宋_GB2312" w:hAnsi="仿宋_GB2312" w:eastAsia="仿宋_GB2312" w:cs="仿宋_GB2312"/>
          <w:b w:val="0"/>
          <w:bCs w:val="0"/>
          <w:i w:val="0"/>
          <w:iCs w:val="0"/>
          <w:color w:val="auto"/>
          <w:spacing w:val="0"/>
          <w:sz w:val="32"/>
          <w:szCs w:val="32"/>
          <w:highlight w:val="none"/>
        </w:rPr>
        <w:t>整体</w:t>
      </w:r>
      <w:r>
        <w:rPr>
          <w:rFonts w:hint="eastAsia" w:ascii="仿宋_GB2312" w:hAnsi="仿宋_GB2312" w:eastAsia="仿宋_GB2312" w:cs="仿宋_GB2312"/>
          <w:b w:val="0"/>
          <w:bCs w:val="0"/>
          <w:i w:val="0"/>
          <w:iCs w:val="0"/>
          <w:color w:val="auto"/>
          <w:spacing w:val="0"/>
          <w:sz w:val="32"/>
          <w:szCs w:val="32"/>
          <w:highlight w:val="none"/>
          <w:lang w:eastAsia="zh-CN"/>
        </w:rPr>
        <w:t>实施</w:t>
      </w:r>
      <w:r>
        <w:rPr>
          <w:rFonts w:hint="eastAsia" w:ascii="仿宋_GB2312" w:hAnsi="仿宋_GB2312" w:eastAsia="仿宋_GB2312" w:cs="仿宋_GB2312"/>
          <w:b w:val="0"/>
          <w:bCs w:val="0"/>
          <w:i w:val="0"/>
          <w:iCs w:val="0"/>
          <w:color w:val="auto"/>
          <w:spacing w:val="0"/>
          <w:sz w:val="32"/>
          <w:szCs w:val="32"/>
          <w:highlight w:val="none"/>
        </w:rPr>
        <w:t>规划核实</w:t>
      </w:r>
      <w:r>
        <w:rPr>
          <w:rFonts w:hint="eastAsia" w:ascii="仿宋_GB2312" w:hAnsi="仿宋_GB2312" w:eastAsia="仿宋_GB2312" w:cs="仿宋_GB2312"/>
          <w:b w:val="0"/>
          <w:bCs w:val="0"/>
          <w:i w:val="0"/>
          <w:iCs w:val="0"/>
          <w:color w:val="auto"/>
          <w:spacing w:val="0"/>
          <w:sz w:val="32"/>
          <w:szCs w:val="32"/>
          <w:highlight w:val="none"/>
          <w:lang w:eastAsia="zh-CN"/>
        </w:rPr>
        <w:t>，</w:t>
      </w:r>
      <w:r>
        <w:rPr>
          <w:rFonts w:hint="eastAsia" w:ascii="仿宋_GB2312" w:hAnsi="仿宋_GB2312" w:eastAsia="仿宋_GB2312" w:cs="仿宋_GB2312"/>
          <w:b w:val="0"/>
          <w:bCs w:val="0"/>
          <w:i w:val="0"/>
          <w:iCs w:val="0"/>
          <w:color w:val="auto"/>
          <w:spacing w:val="0"/>
          <w:sz w:val="32"/>
          <w:szCs w:val="32"/>
          <w:highlight w:val="none"/>
        </w:rPr>
        <w:t>核算各分次合计的总建筑面积误差。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五</w:t>
      </w:r>
      <w:r>
        <w:rPr>
          <w:rFonts w:hint="eastAsia" w:ascii="黑体" w:hAnsi="黑体" w:eastAsia="黑体" w:cs="黑体"/>
          <w:color w:val="auto"/>
          <w:sz w:val="32"/>
          <w:szCs w:val="32"/>
          <w:highlight w:val="none"/>
        </w:rPr>
        <w:t>、落实规划实施监督管理</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lang w:eastAsia="zh-CN"/>
        </w:rPr>
        <w:t>（十二）</w:t>
      </w:r>
      <w:r>
        <w:rPr>
          <w:rFonts w:hint="eastAsia" w:ascii="楷体_GB2312" w:hAnsi="楷体_GB2312" w:eastAsia="楷体_GB2312" w:cs="楷体_GB2312"/>
          <w:color w:val="auto"/>
          <w:sz w:val="32"/>
          <w:szCs w:val="32"/>
          <w:highlight w:val="none"/>
        </w:rPr>
        <w:t>推进规划许可证书统一管理。</w:t>
      </w:r>
      <w:r>
        <w:rPr>
          <w:rFonts w:hint="eastAsia" w:ascii="Times New Roman" w:hAnsi="Times New Roman" w:eastAsia="仿宋_GB2312" w:cs="Times New Roman"/>
          <w:color w:val="auto"/>
          <w:sz w:val="32"/>
          <w:szCs w:val="32"/>
          <w:highlight w:val="none"/>
        </w:rPr>
        <w:t>严格落实自然资源部要求，</w:t>
      </w:r>
      <w:r>
        <w:rPr>
          <w:rFonts w:hint="eastAsia" w:ascii="Times New Roman" w:hAnsi="Times New Roman" w:eastAsia="仿宋_GB2312" w:cs="Times New Roman"/>
          <w:color w:val="auto"/>
          <w:sz w:val="32"/>
          <w:szCs w:val="32"/>
          <w:highlight w:val="none"/>
          <w:lang w:eastAsia="zh-CN"/>
        </w:rPr>
        <w:t>除涉密项目外，其他项目均应在国土空间</w:t>
      </w:r>
      <w:r>
        <w:rPr>
          <w:rFonts w:hint="eastAsia" w:ascii="Times New Roman" w:hAnsi="Times New Roman" w:eastAsia="仿宋_GB2312" w:cs="Times New Roman"/>
          <w:color w:val="auto"/>
          <w:sz w:val="32"/>
          <w:szCs w:val="32"/>
          <w:highlight w:val="none"/>
        </w:rPr>
        <w:t>用途管制监管系统</w:t>
      </w:r>
      <w:r>
        <w:rPr>
          <w:rFonts w:hint="eastAsia" w:ascii="Times New Roman" w:hAnsi="Times New Roman" w:eastAsia="仿宋_GB2312" w:cs="Times New Roman"/>
          <w:color w:val="auto"/>
          <w:sz w:val="32"/>
          <w:szCs w:val="32"/>
          <w:highlight w:val="none"/>
          <w:lang w:eastAsia="zh-CN"/>
        </w:rPr>
        <w:t>申请</w:t>
      </w:r>
      <w:r>
        <w:rPr>
          <w:rFonts w:hint="eastAsia" w:ascii="Times New Roman" w:hAnsi="Times New Roman" w:eastAsia="仿宋_GB2312" w:cs="Times New Roman"/>
          <w:color w:val="auto"/>
          <w:sz w:val="32"/>
          <w:szCs w:val="32"/>
          <w:highlight w:val="none"/>
        </w:rPr>
        <w:t>配发电子监管号，没有电子监管号的许可证书不具备法律效力，不能作为下一阶段办理相关手续的印证材料。严格执行自然资源部监制（</w:t>
      </w:r>
      <w:r>
        <w:rPr>
          <w:rFonts w:hint="eastAsia" w:ascii="Times New Roman" w:hAnsi="Times New Roman" w:eastAsia="仿宋_GB2312" w:cs="Times New Roman"/>
          <w:color w:val="auto"/>
          <w:sz w:val="32"/>
          <w:szCs w:val="32"/>
          <w:highlight w:val="none"/>
          <w:u w:val="none"/>
        </w:rPr>
        <w:t>制</w:t>
      </w:r>
      <w:r>
        <w:rPr>
          <w:rFonts w:hint="eastAsia" w:ascii="Times New Roman" w:hAnsi="Times New Roman" w:eastAsia="仿宋_GB2312" w:cs="Times New Roman"/>
          <w:color w:val="auto"/>
          <w:sz w:val="32"/>
          <w:szCs w:val="32"/>
          <w:highlight w:val="none"/>
        </w:rPr>
        <w:t>定）的规划许可文书规范样式，有序推进电子证照应用，版式与纸质证书保持一致。鼓励有条件的市县在规划许可证书加附二维码，实现“在线查证”。</w:t>
      </w:r>
    </w:p>
    <w:p>
      <w:pPr>
        <w:keepNext w:val="0"/>
        <w:keepLines w:val="0"/>
        <w:pageBreakBefore w:val="0"/>
        <w:numPr>
          <w:ins w:id="1" w:author="漠月" w:date=""/>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eastAsia="zh-CN"/>
        </w:rPr>
        <w:t>十三</w:t>
      </w:r>
      <w:r>
        <w:rPr>
          <w:rFonts w:hint="eastAsia" w:ascii="楷体_GB2312" w:hAnsi="楷体_GB2312" w:eastAsia="楷体_GB2312" w:cs="楷体_GB2312"/>
          <w:color w:val="auto"/>
          <w:sz w:val="32"/>
          <w:szCs w:val="32"/>
          <w:highlight w:val="none"/>
        </w:rPr>
        <w:t>）实现</w:t>
      </w:r>
      <w:r>
        <w:rPr>
          <w:rFonts w:hint="eastAsia" w:ascii="楷体_GB2312" w:hAnsi="楷体_GB2312" w:eastAsia="楷体_GB2312" w:cs="楷体_GB2312"/>
          <w:color w:val="auto"/>
          <w:sz w:val="32"/>
          <w:szCs w:val="32"/>
          <w:highlight w:val="none"/>
          <w:lang w:eastAsia="zh-CN"/>
        </w:rPr>
        <w:t>规划许可</w:t>
      </w:r>
      <w:r>
        <w:rPr>
          <w:rFonts w:hint="eastAsia" w:ascii="楷体_GB2312" w:hAnsi="楷体_GB2312" w:eastAsia="楷体_GB2312" w:cs="楷体_GB2312"/>
          <w:color w:val="auto"/>
          <w:sz w:val="32"/>
          <w:szCs w:val="32"/>
          <w:highlight w:val="none"/>
        </w:rPr>
        <w:t>数字</w:t>
      </w:r>
      <w:r>
        <w:rPr>
          <w:rFonts w:hint="eastAsia" w:ascii="楷体_GB2312" w:hAnsi="楷体_GB2312" w:eastAsia="楷体_GB2312" w:cs="楷体_GB2312"/>
          <w:color w:val="auto"/>
          <w:sz w:val="32"/>
          <w:szCs w:val="32"/>
          <w:highlight w:val="none"/>
          <w:lang w:eastAsia="zh-CN"/>
        </w:rPr>
        <w:t>化</w:t>
      </w:r>
      <w:r>
        <w:rPr>
          <w:rFonts w:hint="eastAsia" w:ascii="楷体_GB2312" w:hAnsi="楷体_GB2312" w:eastAsia="楷体_GB2312" w:cs="楷体_GB2312"/>
          <w:color w:val="auto"/>
          <w:sz w:val="32"/>
          <w:szCs w:val="32"/>
          <w:highlight w:val="none"/>
        </w:rPr>
        <w:t>监管。</w:t>
      </w:r>
      <w:r>
        <w:rPr>
          <w:rFonts w:hint="eastAsia" w:ascii="Times New Roman" w:hAnsi="Times New Roman" w:eastAsia="仿宋_GB2312" w:cs="Times New Roman"/>
          <w:color w:val="auto"/>
          <w:sz w:val="32"/>
          <w:szCs w:val="32"/>
          <w:highlight w:val="none"/>
        </w:rPr>
        <w:t>依托陕西省国土空间基础信息平台和国土空间规划“一张图”实施监督信息系统、国土空间用途管制监管系统</w:t>
      </w:r>
      <w:r>
        <w:rPr>
          <w:rFonts w:hint="eastAsia" w:ascii="Times New Roman" w:hAnsi="Times New Roman" w:eastAsia="仿宋_GB2312" w:cs="Times New Roman"/>
          <w:color w:val="auto"/>
          <w:sz w:val="32"/>
          <w:szCs w:val="32"/>
          <w:highlight w:val="none"/>
          <w:lang w:eastAsia="zh-CN"/>
        </w:rPr>
        <w:t>、不动产登记系统</w:t>
      </w:r>
      <w:r>
        <w:rPr>
          <w:rFonts w:hint="eastAsia" w:ascii="Times New Roman" w:hAnsi="Times New Roman" w:eastAsia="仿宋_GB2312" w:cs="Times New Roman"/>
          <w:color w:val="auto"/>
          <w:sz w:val="32"/>
          <w:szCs w:val="32"/>
          <w:highlight w:val="none"/>
        </w:rPr>
        <w:t>，积极推动建设用地审批、建设项目规划许可事项规范化、标准化、数字化管理</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除涉及国家秘密的项目外，规划许可事项办结后须在</w:t>
      </w:r>
      <w:r>
        <w:rPr>
          <w:rFonts w:hint="eastAsia" w:ascii="仿宋_GB2312" w:eastAsia="仿宋_GB2312" w:hAnsiTheme="minorHAnsi" w:cstheme="minorBidi"/>
          <w:color w:val="auto"/>
          <w:sz w:val="32"/>
          <w:szCs w:val="32"/>
          <w:lang w:val="en-US" w:eastAsia="zh-CN"/>
        </w:rPr>
        <w:t>5</w:t>
      </w:r>
      <w:r>
        <w:rPr>
          <w:rFonts w:hint="eastAsia" w:ascii="Times New Roman" w:hAnsi="Times New Roman" w:eastAsia="仿宋_GB2312" w:cs="Times New Roman"/>
          <w:color w:val="auto"/>
          <w:sz w:val="32"/>
          <w:szCs w:val="32"/>
          <w:highlight w:val="none"/>
        </w:rPr>
        <w:t>个工作日内将结果上传国土空间用途管制监管系统。</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（十四）明确</w:t>
      </w:r>
      <w:r>
        <w:rPr>
          <w:rFonts w:hint="eastAsia" w:ascii="楷体_GB2312" w:hAnsi="楷体_GB2312" w:eastAsia="楷体_GB2312" w:cs="楷体_GB2312"/>
          <w:color w:val="auto"/>
          <w:sz w:val="32"/>
          <w:szCs w:val="32"/>
          <w:highlight w:val="none"/>
        </w:rPr>
        <w:t>规划许可批后监管</w:t>
      </w:r>
      <w:r>
        <w:rPr>
          <w:rFonts w:hint="eastAsia" w:ascii="楷体_GB2312" w:hAnsi="楷体_GB2312" w:eastAsia="楷体_GB2312" w:cs="楷体_GB2312"/>
          <w:color w:val="auto"/>
          <w:sz w:val="32"/>
          <w:szCs w:val="32"/>
          <w:highlight w:val="none"/>
          <w:lang w:eastAsia="zh-CN"/>
        </w:rPr>
        <w:t>职责</w:t>
      </w:r>
      <w:r>
        <w:rPr>
          <w:rFonts w:hint="eastAsia" w:ascii="楷体_GB2312" w:hAnsi="楷体_GB2312" w:eastAsia="楷体_GB2312" w:cs="楷体_GB2312"/>
          <w:color w:val="auto"/>
          <w:sz w:val="32"/>
          <w:szCs w:val="32"/>
          <w:highlight w:val="none"/>
        </w:rPr>
        <w:t>。</w:t>
      </w:r>
      <w:r>
        <w:rPr>
          <w:rFonts w:hint="eastAsia" w:ascii="Times New Roman" w:hAnsi="Times New Roman" w:eastAsia="仿宋_GB2312" w:cs="Times New Roman"/>
          <w:color w:val="auto"/>
          <w:sz w:val="32"/>
          <w:szCs w:val="32"/>
          <w:highlight w:val="none"/>
        </w:rPr>
        <w:t>市、县自然资源主管部门</w:t>
      </w:r>
      <w:r>
        <w:rPr>
          <w:rFonts w:hint="eastAsia" w:ascii="Times New Roman" w:hAnsi="Times New Roman" w:eastAsia="仿宋_GB2312" w:cs="Times New Roman"/>
          <w:color w:val="auto"/>
          <w:sz w:val="32"/>
          <w:szCs w:val="32"/>
          <w:highlight w:val="none"/>
          <w:lang w:eastAsia="zh-CN"/>
        </w:rPr>
        <w:t>或市、县人民政府明确的有关部门</w:t>
      </w:r>
      <w:r>
        <w:rPr>
          <w:rFonts w:hint="eastAsia" w:ascii="Times New Roman" w:hAnsi="Times New Roman" w:eastAsia="仿宋_GB2312" w:cs="Times New Roman"/>
          <w:color w:val="auto"/>
          <w:sz w:val="32"/>
          <w:szCs w:val="32"/>
          <w:highlight w:val="none"/>
        </w:rPr>
        <w:t>要加强规划许可批后监管，</w:t>
      </w:r>
      <w:r>
        <w:rPr>
          <w:rFonts w:hint="eastAsia" w:ascii="Times New Roman" w:hAnsi="Times New Roman" w:eastAsia="仿宋_GB2312" w:cs="Times New Roman"/>
          <w:color w:val="auto"/>
          <w:sz w:val="32"/>
          <w:szCs w:val="32"/>
          <w:highlight w:val="none"/>
          <w:lang w:eastAsia="zh-CN"/>
        </w:rPr>
        <w:t>制定建设项目规划监管巡查工作机制，</w:t>
      </w:r>
      <w:r>
        <w:rPr>
          <w:rFonts w:hint="eastAsia" w:ascii="Times New Roman" w:hAnsi="Times New Roman" w:eastAsia="仿宋_GB2312" w:cs="Times New Roman"/>
          <w:color w:val="auto"/>
          <w:sz w:val="32"/>
          <w:szCs w:val="32"/>
          <w:highlight w:val="none"/>
        </w:rPr>
        <w:t>按照地方人民政府职责分工对规划核实前使用权人实施建设工程规划许可及其附件附图情况进行监督管理。</w:t>
      </w:r>
      <w:r>
        <w:rPr>
          <w:rFonts w:hint="eastAsia" w:ascii="Times New Roman" w:hAnsi="Times New Roman" w:eastAsia="仿宋_GB2312" w:cs="Times New Roman"/>
          <w:color w:val="auto"/>
          <w:sz w:val="32"/>
          <w:szCs w:val="32"/>
          <w:highlight w:val="none"/>
          <w:lang w:eastAsia="zh-CN"/>
        </w:rPr>
        <w:t>批后监管或规划核实时发现在施工许可中擅自改变建设工程规划许可内容的，自然资源主管部门或有关部门应及时函告当地住房城乡建设部门。规划核实后的违法行为，纳入地方城市管理和综合执法部门统一管理。</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Calibri" w:hAnsi="Calibri" w:eastAsia="宋体" w:cs="Tahoma"/>
          <w:color w:val="auto"/>
          <w:sz w:val="44"/>
          <w:szCs w:val="44"/>
          <w:highlight w:val="none"/>
        </w:rPr>
      </w:pPr>
      <w:r>
        <w:rPr>
          <w:rFonts w:hint="eastAsia" w:ascii="楷体_GB2312" w:hAnsi="楷体_GB2312" w:eastAsia="楷体_GB2312" w:cs="楷体_GB2312"/>
          <w:color w:val="auto"/>
          <w:sz w:val="32"/>
          <w:szCs w:val="32"/>
          <w:highlight w:val="none"/>
          <w:lang w:eastAsia="zh-CN"/>
        </w:rPr>
        <w:t>（十五）</w:t>
      </w:r>
      <w:r>
        <w:rPr>
          <w:rFonts w:hint="eastAsia" w:ascii="楷体_GB2312" w:hAnsi="楷体_GB2312" w:eastAsia="楷体_GB2312" w:cs="楷体_GB2312"/>
          <w:color w:val="auto"/>
          <w:sz w:val="32"/>
          <w:szCs w:val="32"/>
          <w:highlight w:val="none"/>
          <w:u w:val="none"/>
          <w:lang w:eastAsia="zh-CN"/>
        </w:rPr>
        <w:t>强化关键节点</w:t>
      </w:r>
      <w:r>
        <w:rPr>
          <w:rFonts w:hint="eastAsia" w:ascii="楷体_GB2312" w:hAnsi="楷体_GB2312" w:eastAsia="楷体_GB2312" w:cs="楷体_GB2312"/>
          <w:color w:val="auto"/>
          <w:sz w:val="32"/>
          <w:szCs w:val="32"/>
          <w:highlight w:val="none"/>
          <w:lang w:eastAsia="zh-CN"/>
        </w:rPr>
        <w:t>核验。</w:t>
      </w:r>
      <w:r>
        <w:rPr>
          <w:rFonts w:hint="eastAsia" w:ascii="Times New Roman" w:hAnsi="Times New Roman" w:eastAsia="仿宋_GB2312" w:cs="Times New Roman"/>
          <w:color w:val="auto"/>
          <w:sz w:val="32"/>
          <w:szCs w:val="32"/>
          <w:highlight w:val="none"/>
        </w:rPr>
        <w:t>建设单位或者个人在取得建设工程规划许可证后，在建设工程施工前，应按照“多测合一”要求委托具有相应测绘资质的单位进行放线，自然资源主管部门</w:t>
      </w:r>
      <w:r>
        <w:rPr>
          <w:rFonts w:hint="eastAsia" w:ascii="Times New Roman" w:hAnsi="Times New Roman" w:eastAsia="仿宋_GB2312" w:cs="Times New Roman"/>
          <w:color w:val="auto"/>
          <w:sz w:val="32"/>
          <w:szCs w:val="32"/>
          <w:highlight w:val="none"/>
          <w:lang w:eastAsia="zh-CN"/>
        </w:rPr>
        <w:t>依申请在规定时限内</w:t>
      </w:r>
      <w:r>
        <w:rPr>
          <w:rFonts w:hint="eastAsia" w:ascii="Times New Roman" w:hAnsi="Times New Roman" w:eastAsia="仿宋_GB2312" w:cs="Times New Roman"/>
          <w:color w:val="auto"/>
          <w:sz w:val="32"/>
          <w:szCs w:val="32"/>
          <w:highlight w:val="none"/>
        </w:rPr>
        <w:t>进行验线。</w:t>
      </w:r>
      <w:r>
        <w:rPr>
          <w:rFonts w:hint="eastAsia" w:ascii="Times New Roman" w:hAnsi="Times New Roman" w:eastAsia="仿宋_GB2312" w:cs="Times New Roman"/>
          <w:color w:val="auto"/>
          <w:sz w:val="32"/>
          <w:szCs w:val="32"/>
          <w:highlight w:val="none"/>
          <w:lang w:eastAsia="zh-CN"/>
        </w:rPr>
        <w:t>市县应</w:t>
      </w:r>
      <w:r>
        <w:rPr>
          <w:rFonts w:hint="eastAsia" w:ascii="Times New Roman" w:hAnsi="Times New Roman" w:eastAsia="仿宋_GB2312" w:cs="Times New Roman"/>
          <w:color w:val="auto"/>
          <w:sz w:val="32"/>
          <w:szCs w:val="32"/>
          <w:highlight w:val="none"/>
        </w:rPr>
        <w:t>在建设项目基槽开挖后、±0.00基准面、项目建筑主体封顶</w:t>
      </w:r>
      <w:r>
        <w:rPr>
          <w:rFonts w:hint="eastAsia" w:ascii="Times New Roman" w:hAnsi="Times New Roman" w:eastAsia="仿宋_GB2312" w:cs="Times New Roman"/>
          <w:color w:val="auto"/>
          <w:sz w:val="32"/>
          <w:szCs w:val="32"/>
          <w:highlight w:val="none"/>
          <w:lang w:eastAsia="zh-CN"/>
        </w:rPr>
        <w:t>或道路管线覆土前</w:t>
      </w:r>
      <w:r>
        <w:rPr>
          <w:rFonts w:hint="eastAsia" w:ascii="Times New Roman" w:hAnsi="Times New Roman" w:eastAsia="仿宋_GB2312" w:cs="Times New Roman"/>
          <w:color w:val="auto"/>
          <w:sz w:val="32"/>
          <w:szCs w:val="32"/>
          <w:highlight w:val="none"/>
        </w:rPr>
        <w:t>等节点开展核验，发现不符合规划许可的，及时移交相关主管部门和执法部门查处，保障项目按照批准的规划条件和建设工程设计方案进行建设。</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0"/>
        <w:textAlignment w:val="auto"/>
        <w:rPr>
          <w:rFonts w:hint="eastAsia" w:ascii="Times New Roman" w:hAnsi="Times New Roman" w:eastAsia="仿宋_GB2312" w:cs="Times New Roman"/>
          <w:color w:val="auto"/>
          <w:sz w:val="32"/>
          <w:szCs w:val="32"/>
          <w:highlight w:val="none"/>
          <w:lang w:eastAsia="zh-CN"/>
        </w:rPr>
      </w:pPr>
      <w:r>
        <w:rPr>
          <w:rFonts w:hint="eastAsia" w:ascii="楷体_GB2312" w:hAnsi="楷体_GB2312" w:eastAsia="楷体_GB2312" w:cs="楷体_GB2312"/>
          <w:color w:val="auto"/>
          <w:sz w:val="32"/>
          <w:szCs w:val="32"/>
          <w:highlight w:val="none"/>
        </w:rPr>
        <w:t>（十</w:t>
      </w:r>
      <w:r>
        <w:rPr>
          <w:rFonts w:hint="eastAsia" w:ascii="楷体_GB2312" w:hAnsi="楷体_GB2312" w:eastAsia="楷体_GB2312" w:cs="楷体_GB2312"/>
          <w:color w:val="auto"/>
          <w:sz w:val="32"/>
          <w:szCs w:val="32"/>
          <w:highlight w:val="none"/>
          <w:lang w:eastAsia="zh-CN"/>
        </w:rPr>
        <w:t>六</w:t>
      </w: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lang w:val="en-US" w:eastAsia="zh-CN"/>
        </w:rPr>
        <w:t>严格执法查处</w:t>
      </w:r>
      <w:r>
        <w:rPr>
          <w:rFonts w:hint="eastAsia" w:ascii="楷体_GB2312" w:hAnsi="楷体_GB2312" w:eastAsia="楷体_GB2312" w:cs="楷体_GB2312"/>
          <w:color w:val="auto"/>
          <w:sz w:val="32"/>
          <w:szCs w:val="32"/>
          <w:highlight w:val="none"/>
        </w:rPr>
        <w:t>。</w:t>
      </w:r>
      <w:r>
        <w:rPr>
          <w:rFonts w:hint="eastAsia" w:ascii="仿宋_GB2312" w:hAnsi="仿宋_GB2312" w:eastAsia="仿宋_GB2312" w:cs="仿宋_GB2312"/>
          <w:color w:val="auto"/>
          <w:sz w:val="32"/>
          <w:szCs w:val="32"/>
          <w:lang w:val="en-US" w:eastAsia="zh-CN"/>
        </w:rPr>
        <w:t>按照法律法规和“三定方案”明确的职能职责确定各部门执法权限，</w:t>
      </w:r>
      <w:r>
        <w:rPr>
          <w:rFonts w:hint="eastAsia" w:ascii="Times New Roman" w:hAnsi="Times New Roman" w:eastAsia="仿宋_GB2312" w:cs="Times New Roman"/>
          <w:color w:val="auto"/>
          <w:sz w:val="32"/>
          <w:szCs w:val="32"/>
          <w:highlight w:val="none"/>
          <w:lang w:eastAsia="zh-CN"/>
        </w:rPr>
        <w:t>报请本级人民政府同意</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建立</w:t>
      </w:r>
      <w:r>
        <w:rPr>
          <w:rFonts w:hint="eastAsia" w:ascii="Times New Roman" w:hAnsi="Times New Roman" w:eastAsia="仿宋_GB2312" w:cs="Times New Roman"/>
          <w:color w:val="auto"/>
          <w:sz w:val="32"/>
          <w:szCs w:val="32"/>
          <w:highlight w:val="none"/>
        </w:rPr>
        <w:t>“属地管理”责任清单</w:t>
      </w:r>
      <w:r>
        <w:rPr>
          <w:rFonts w:hint="eastAsia" w:ascii="Times New Roman" w:hAnsi="Times New Roman" w:eastAsia="仿宋_GB2312" w:cs="Times New Roman"/>
          <w:color w:val="auto"/>
          <w:sz w:val="32"/>
          <w:szCs w:val="32"/>
          <w:highlight w:val="none"/>
          <w:lang w:eastAsia="zh-CN"/>
        </w:rPr>
        <w:t>，落实</w:t>
      </w:r>
      <w:r>
        <w:rPr>
          <w:rFonts w:hint="eastAsia" w:ascii="仿宋_GB2312" w:hAnsi="仿宋_GB2312" w:eastAsia="仿宋_GB2312" w:cs="仿宋_GB2312"/>
          <w:color w:val="auto"/>
          <w:sz w:val="32"/>
          <w:szCs w:val="32"/>
          <w:lang w:val="en-US" w:eastAsia="zh-CN"/>
        </w:rPr>
        <w:t>未取得或未按照规划许可进行建设的查处责任。</w:t>
      </w:r>
      <w:r>
        <w:rPr>
          <w:rFonts w:hint="eastAsia" w:ascii="Times New Roman" w:hAnsi="Times New Roman" w:eastAsia="仿宋_GB2312" w:cs="Times New Roman"/>
          <w:color w:val="auto"/>
          <w:sz w:val="32"/>
          <w:szCs w:val="32"/>
          <w:highlight w:val="none"/>
        </w:rPr>
        <w:t>对属于</w:t>
      </w:r>
      <w:r>
        <w:rPr>
          <w:rFonts w:hint="eastAsia" w:ascii="Times New Roman" w:hAnsi="Times New Roman" w:eastAsia="仿宋_GB2312" w:cs="Times New Roman"/>
          <w:color w:val="auto"/>
          <w:sz w:val="32"/>
          <w:szCs w:val="32"/>
          <w:highlight w:val="none"/>
          <w:lang w:eastAsia="zh-CN"/>
        </w:rPr>
        <w:t>市、县</w:t>
      </w:r>
      <w:r>
        <w:rPr>
          <w:rFonts w:hint="eastAsia" w:ascii="Times New Roman" w:hAnsi="Times New Roman" w:eastAsia="仿宋_GB2312" w:cs="Times New Roman"/>
          <w:color w:val="auto"/>
          <w:sz w:val="32"/>
          <w:szCs w:val="32"/>
          <w:highlight w:val="none"/>
        </w:rPr>
        <w:t>自然资源主管部门查处职责的，依法及时予以查处；对规划执法权限纳入地方城市管理和综合执法部门或其他部门的，自然资源主管部门在发现或收到违法线索后及时移交，</w:t>
      </w:r>
      <w:r>
        <w:rPr>
          <w:rFonts w:hint="eastAsia" w:ascii="Times New Roman" w:hAnsi="Times New Roman" w:eastAsia="仿宋_GB2312" w:cs="Times New Roman"/>
          <w:color w:val="auto"/>
          <w:sz w:val="32"/>
          <w:szCs w:val="32"/>
          <w:highlight w:val="none"/>
          <w:lang w:eastAsia="zh-CN"/>
        </w:rPr>
        <w:t>查处职责由市、县人民政府明确的相关职能部门承担</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对违法违规建设行为的认定及查处参照《自然资源违法行为立案查处工作规程（试行）》等执行，市县也可结合实际制定本地区违法建设查处工作规程。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highlight w:val="none"/>
        </w:rPr>
      </w:pPr>
      <w:r>
        <w:rPr>
          <w:rFonts w:hint="eastAsia" w:ascii="楷体_GB2312" w:hAnsi="楷体_GB2312" w:eastAsia="楷体_GB2312" w:cs="楷体_GB2312"/>
          <w:color w:val="auto"/>
          <w:sz w:val="32"/>
          <w:szCs w:val="32"/>
          <w:highlight w:val="none"/>
        </w:rPr>
        <w:t>（十</w:t>
      </w:r>
      <w:r>
        <w:rPr>
          <w:rFonts w:hint="eastAsia" w:ascii="楷体_GB2312" w:hAnsi="楷体_GB2312" w:eastAsia="楷体_GB2312" w:cs="楷体_GB2312"/>
          <w:color w:val="auto"/>
          <w:sz w:val="32"/>
          <w:szCs w:val="32"/>
          <w:highlight w:val="none"/>
          <w:lang w:eastAsia="zh-CN"/>
        </w:rPr>
        <w:t>七</w:t>
      </w: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eastAsia="zh-CN"/>
        </w:rPr>
        <w:t>健全和</w:t>
      </w:r>
      <w:r>
        <w:rPr>
          <w:rFonts w:hint="eastAsia" w:ascii="楷体_GB2312" w:hAnsi="楷体_GB2312" w:eastAsia="楷体_GB2312" w:cs="楷体_GB2312"/>
          <w:color w:val="auto"/>
          <w:sz w:val="32"/>
          <w:szCs w:val="32"/>
          <w:highlight w:val="none"/>
        </w:rPr>
        <w:t>完善监督检查制度。</w:t>
      </w:r>
      <w:r>
        <w:rPr>
          <w:rFonts w:hint="eastAsia" w:ascii="Times New Roman" w:hAnsi="Times New Roman" w:eastAsia="仿宋_GB2312" w:cs="Times New Roman"/>
          <w:color w:val="auto"/>
          <w:sz w:val="32"/>
          <w:szCs w:val="32"/>
          <w:highlight w:val="none"/>
        </w:rPr>
        <w:t>市、县自然资源主管部门</w:t>
      </w:r>
      <w:r>
        <w:rPr>
          <w:rFonts w:hint="eastAsia" w:ascii="Times New Roman" w:hAnsi="Times New Roman" w:eastAsia="仿宋_GB2312" w:cs="Times New Roman"/>
          <w:color w:val="auto"/>
          <w:sz w:val="32"/>
          <w:szCs w:val="32"/>
          <w:highlight w:val="none"/>
          <w:lang w:eastAsia="zh-CN"/>
        </w:rPr>
        <w:t>要进一步健全和完善监督检查制度，</w:t>
      </w:r>
      <w:r>
        <w:rPr>
          <w:rFonts w:hint="eastAsia" w:ascii="Times New Roman" w:hAnsi="Times New Roman" w:eastAsia="仿宋_GB2312" w:cs="Times New Roman"/>
          <w:color w:val="auto"/>
          <w:sz w:val="32"/>
          <w:highlight w:val="none"/>
          <w:lang w:eastAsia="zh-CN"/>
        </w:rPr>
        <w:t>通过</w:t>
      </w:r>
      <w:r>
        <w:rPr>
          <w:rFonts w:hint="eastAsia" w:ascii="Times New Roman" w:hAnsi="Times New Roman" w:eastAsia="仿宋_GB2312" w:cs="Times New Roman"/>
          <w:color w:val="auto"/>
          <w:sz w:val="32"/>
          <w:highlight w:val="none"/>
        </w:rPr>
        <w:t>“双随机、一公开”监管、重点监管和信用监管</w:t>
      </w:r>
      <w:r>
        <w:rPr>
          <w:rFonts w:hint="eastAsia" w:ascii="Times New Roman" w:hAnsi="Times New Roman" w:eastAsia="仿宋_GB2312" w:cs="Times New Roman"/>
          <w:color w:val="auto"/>
          <w:sz w:val="32"/>
          <w:highlight w:val="none"/>
          <w:lang w:eastAsia="zh-CN"/>
        </w:rPr>
        <w:t>等多种方式</w:t>
      </w:r>
      <w:r>
        <w:rPr>
          <w:rFonts w:hint="eastAsia" w:ascii="Times New Roman" w:hAnsi="Times New Roman" w:eastAsia="仿宋_GB2312" w:cs="Times New Roman"/>
          <w:color w:val="auto"/>
          <w:sz w:val="32"/>
          <w:highlight w:val="none"/>
        </w:rPr>
        <w:t>，</w:t>
      </w:r>
      <w:r>
        <w:rPr>
          <w:rFonts w:hint="eastAsia" w:ascii="Times New Roman" w:hAnsi="Times New Roman" w:eastAsia="仿宋_GB2312" w:cs="Times New Roman"/>
          <w:color w:val="auto"/>
          <w:sz w:val="32"/>
          <w:highlight w:val="none"/>
          <w:lang w:val="en-US" w:eastAsia="zh-CN"/>
        </w:rPr>
        <w:t>对本行政区域核发规划许可的项目实施进行监管，对下一级规划许可核发过程进行监督，</w:t>
      </w:r>
      <w:r>
        <w:rPr>
          <w:rFonts w:hint="eastAsia" w:ascii="Times New Roman" w:hAnsi="Times New Roman" w:eastAsia="仿宋_GB2312" w:cs="Times New Roman"/>
          <w:color w:val="auto"/>
          <w:sz w:val="32"/>
          <w:highlight w:val="none"/>
        </w:rPr>
        <w:t>依法严肃查处违法违规发放规划许可</w:t>
      </w:r>
      <w:r>
        <w:rPr>
          <w:rFonts w:hint="eastAsia" w:ascii="Times New Roman" w:hAnsi="Times New Roman" w:eastAsia="仿宋_GB2312" w:cs="Times New Roman"/>
          <w:color w:val="auto"/>
          <w:sz w:val="32"/>
          <w:highlight w:val="none"/>
          <w:lang w:eastAsia="zh-CN"/>
        </w:rPr>
        <w:t>证，以及违反国土空间规划、</w:t>
      </w:r>
      <w:r>
        <w:rPr>
          <w:rFonts w:hint="eastAsia" w:ascii="Times New Roman" w:hAnsi="Times New Roman" w:eastAsia="仿宋_GB2312" w:cs="Times New Roman"/>
          <w:color w:val="auto"/>
          <w:sz w:val="32"/>
          <w:highlight w:val="none"/>
          <w:u w:val="none"/>
          <w:lang w:eastAsia="zh-CN"/>
        </w:rPr>
        <w:t>有关规范和标准</w:t>
      </w:r>
      <w:r>
        <w:rPr>
          <w:rFonts w:hint="eastAsia" w:ascii="Times New Roman" w:hAnsi="Times New Roman" w:eastAsia="仿宋_GB2312" w:cs="Times New Roman"/>
          <w:color w:val="auto"/>
          <w:sz w:val="32"/>
          <w:highlight w:val="none"/>
          <w:lang w:eastAsia="zh-CN"/>
        </w:rPr>
        <w:t>编制技术支撑报告和图件</w:t>
      </w:r>
      <w:r>
        <w:rPr>
          <w:rFonts w:hint="eastAsia" w:ascii="Times New Roman" w:hAnsi="Times New Roman" w:eastAsia="仿宋_GB2312" w:cs="Times New Roman"/>
          <w:color w:val="auto"/>
          <w:sz w:val="32"/>
          <w:highlight w:val="none"/>
        </w:rPr>
        <w:t>等行为。省自然资源厅将对各市、县人民政府国土空间规划编制和实施情况进行</w:t>
      </w:r>
      <w:r>
        <w:rPr>
          <w:rFonts w:hint="eastAsia" w:ascii="Times New Roman" w:hAnsi="Times New Roman" w:eastAsia="仿宋_GB2312" w:cs="Times New Roman"/>
          <w:color w:val="auto"/>
          <w:sz w:val="32"/>
          <w:highlight w:val="none"/>
          <w:lang w:eastAsia="zh-CN"/>
        </w:rPr>
        <w:t>监督检查</w:t>
      </w:r>
      <w:r>
        <w:rPr>
          <w:rFonts w:hint="eastAsia" w:ascii="Times New Roman" w:hAnsi="Times New Roman" w:eastAsia="仿宋_GB2312" w:cs="Times New Roman"/>
          <w:color w:val="auto"/>
          <w:sz w:val="32"/>
          <w:highlight w:val="none"/>
        </w:rPr>
        <w:t>，定期通过国土空间用途管制监管系统对市、县办理规划许可、规划核实等相关</w:t>
      </w:r>
      <w:r>
        <w:rPr>
          <w:rFonts w:hint="eastAsia" w:ascii="Times New Roman" w:hAnsi="Times New Roman" w:eastAsia="仿宋_GB2312" w:cs="Times New Roman"/>
          <w:color w:val="auto"/>
          <w:sz w:val="32"/>
          <w:highlight w:val="none"/>
          <w:lang w:eastAsia="zh-CN"/>
        </w:rPr>
        <w:t>规划许可</w:t>
      </w:r>
      <w:r>
        <w:rPr>
          <w:rFonts w:hint="eastAsia" w:ascii="Times New Roman" w:hAnsi="Times New Roman" w:eastAsia="仿宋_GB2312" w:cs="Times New Roman"/>
          <w:color w:val="auto"/>
          <w:sz w:val="32"/>
          <w:highlight w:val="none"/>
        </w:rPr>
        <w:t>事项进行抽查</w:t>
      </w:r>
      <w:r>
        <w:rPr>
          <w:rFonts w:hint="eastAsia" w:ascii="Times New Roman" w:hAnsi="Times New Roman" w:eastAsia="仿宋_GB2312" w:cs="Times New Roman"/>
          <w:color w:val="auto"/>
          <w:sz w:val="32"/>
          <w:highlight w:val="none"/>
          <w:lang w:eastAsia="zh-CN"/>
        </w:rPr>
        <w:t>，并对抽查情况进行通报</w:t>
      </w:r>
      <w:r>
        <w:rPr>
          <w:rFonts w:hint="eastAsia" w:ascii="Times New Roman" w:hAnsi="Times New Roman" w:eastAsia="仿宋_GB2312" w:cs="Times New Roman"/>
          <w:color w:val="auto"/>
          <w:sz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CESI黑体-GB2312" w:hAnsi="CESI黑体-GB2312" w:eastAsia="CESI黑体-GB2312" w:cs="CESI黑体-GB2312"/>
          <w:color w:val="auto"/>
          <w:sz w:val="32"/>
          <w:szCs w:val="32"/>
          <w:highlight w:val="none"/>
        </w:rPr>
      </w:pPr>
      <w:r>
        <w:rPr>
          <w:rFonts w:hint="eastAsia" w:ascii="CESI黑体-GB2312" w:hAnsi="CESI黑体-GB2312" w:eastAsia="CESI黑体-GB2312" w:cs="CESI黑体-GB2312"/>
          <w:color w:val="auto"/>
          <w:sz w:val="32"/>
          <w:szCs w:val="32"/>
          <w:highlight w:val="none"/>
          <w:lang w:eastAsia="zh-CN"/>
        </w:rPr>
        <w:t>六</w:t>
      </w:r>
      <w:r>
        <w:rPr>
          <w:rFonts w:hint="eastAsia" w:ascii="CESI黑体-GB2312" w:hAnsi="CESI黑体-GB2312" w:eastAsia="CESI黑体-GB2312" w:cs="CESI黑体-GB2312"/>
          <w:color w:val="auto"/>
          <w:sz w:val="32"/>
          <w:szCs w:val="32"/>
          <w:highlight w:val="none"/>
        </w:rPr>
        <w:t>、工作要求</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firstLine="640" w:firstLineChars="0"/>
        <w:textAlignment w:val="auto"/>
        <w:rPr>
          <w:rFonts w:hint="default" w:ascii="Times New Roman" w:hAnsi="Times New Roman" w:eastAsia="仿宋_GB2312" w:cs="Times New Roman"/>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（十八）</w:t>
      </w:r>
      <w:r>
        <w:rPr>
          <w:rFonts w:hint="eastAsia" w:ascii="楷体_GB2312" w:hAnsi="楷体_GB2312" w:eastAsia="楷体_GB2312" w:cs="楷体_GB2312"/>
          <w:color w:val="auto"/>
          <w:sz w:val="32"/>
          <w:szCs w:val="32"/>
          <w:highlight w:val="none"/>
          <w:u w:val="none"/>
          <w:lang w:val="en-US" w:eastAsia="zh-CN"/>
        </w:rPr>
        <w:t>完善工作机制。</w:t>
      </w:r>
      <w:r>
        <w:rPr>
          <w:rFonts w:hint="eastAsia" w:ascii="Times New Roman" w:hAnsi="Times New Roman" w:eastAsia="仿宋_GB2312" w:cs="Times New Roman"/>
          <w:color w:val="auto"/>
          <w:sz w:val="32"/>
          <w:szCs w:val="32"/>
          <w:highlight w:val="none"/>
          <w:lang w:eastAsia="zh-CN"/>
        </w:rPr>
        <w:t>市、县人民政府应将国土空间规划编制和管理经费纳入本级政府财政预算，加快详细规划编制和审批，强化规划实施监督管理，加大机构和人员保障力度。依据法律法规规范规划许可实施机关，涉及授权或委托的，应符合法定要求，履行法定程序。进一步明确各部门日常监管和违法查处职责，建立边界清晰、分工合理、权责一致的管理体制。</w:t>
      </w:r>
      <w:r>
        <w:rPr>
          <w:rFonts w:hint="eastAsia" w:ascii="Times New Roman" w:hAnsi="Times New Roman" w:eastAsia="仿宋_GB2312" w:cs="Times New Roman"/>
          <w:color w:val="auto"/>
          <w:sz w:val="32"/>
          <w:szCs w:val="32"/>
          <w:highlight w:val="none"/>
          <w:lang w:val="en-US" w:eastAsia="zh-CN"/>
        </w:rPr>
        <w:tab/>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0"/>
        <w:textAlignment w:val="auto"/>
        <w:rPr>
          <w:rFonts w:hint="eastAsia" w:ascii="Times New Roman" w:hAnsi="Times New Roman" w:eastAsia="仿宋_GB2312" w:cs="Times New Roman"/>
          <w:color w:val="auto"/>
          <w:sz w:val="32"/>
          <w:szCs w:val="32"/>
          <w:highlight w:val="none"/>
          <w:lang w:eastAsia="zh-CN"/>
        </w:rPr>
      </w:pPr>
      <w:r>
        <w:rPr>
          <w:rFonts w:hint="eastAsia" w:ascii="楷体_GB2312" w:hAnsi="楷体_GB2312" w:eastAsia="楷体_GB2312" w:cs="楷体_GB2312"/>
          <w:color w:val="auto"/>
          <w:sz w:val="32"/>
          <w:szCs w:val="32"/>
          <w:highlight w:val="none"/>
          <w:lang w:val="en-US" w:eastAsia="zh-CN"/>
        </w:rPr>
        <w:t>（十九）加强部门协作。</w:t>
      </w:r>
      <w:r>
        <w:rPr>
          <w:rFonts w:hint="eastAsia" w:ascii="Times New Roman" w:hAnsi="Times New Roman" w:eastAsia="仿宋_GB2312" w:cs="Times New Roman"/>
          <w:color w:val="auto"/>
          <w:sz w:val="32"/>
          <w:szCs w:val="32"/>
          <w:highlight w:val="none"/>
          <w:lang w:eastAsia="zh-CN"/>
        </w:rPr>
        <w:t>市、县自然资源主管部门，应当加强与其他落实规划许可相关责任部门的协调。</w:t>
      </w:r>
      <w:r>
        <w:rPr>
          <w:rFonts w:hint="eastAsia" w:ascii="Times New Roman" w:hAnsi="Times New Roman" w:eastAsia="仿宋_GB2312" w:cs="Times New Roman"/>
          <w:color w:val="auto"/>
          <w:sz w:val="32"/>
          <w:szCs w:val="32"/>
          <w:highlight w:val="none"/>
          <w:u w:val="none"/>
          <w:lang w:eastAsia="zh-CN"/>
        </w:rPr>
        <w:t>对于规划许可事项划转至综合行政审批部门或其他部门的，自然资源部门要及时将上级自然资源部门的相关文件及要求转送相关部门，并督促其按照地方人民政府“三定方案”对规划许可核发及监管落实相应职责。</w:t>
      </w:r>
      <w:r>
        <w:rPr>
          <w:rFonts w:hint="eastAsia" w:ascii="Times New Roman" w:hAnsi="Times New Roman" w:eastAsia="仿宋_GB2312" w:cs="Times New Roman"/>
          <w:color w:val="auto"/>
          <w:sz w:val="32"/>
          <w:szCs w:val="32"/>
          <w:highlight w:val="none"/>
          <w:lang w:eastAsia="zh-CN"/>
        </w:rPr>
        <w:t>对于已明确日常监管和违法查处职责在其他部门的，核发机关应将已审批的规划许可证及其附件及时抄送其他部门。对于未落实规划许可管理职责以及许可批后监管、日常巡查、违法查处等职责划分不清的，自然资源部门应当及时报告本级人民政府予以明晰。</w:t>
      </w:r>
    </w:p>
    <w:p>
      <w:pPr>
        <w:pStyle w:val="3"/>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仿宋_GB2312" w:cs="Times New Roman"/>
          <w:color w:val="auto"/>
          <w:sz w:val="32"/>
          <w:szCs w:val="32"/>
          <w:highlight w:val="none"/>
        </w:rPr>
      </w:pP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eastAsia="zh-CN"/>
        </w:rPr>
        <w:t>二十</w:t>
      </w:r>
      <w:r>
        <w:rPr>
          <w:rFonts w:hint="eastAsia" w:ascii="楷体_GB2312" w:hAnsi="楷体_GB2312" w:eastAsia="楷体_GB2312" w:cs="楷体_GB2312"/>
          <w:color w:val="auto"/>
          <w:sz w:val="32"/>
          <w:szCs w:val="32"/>
          <w:highlight w:val="none"/>
        </w:rPr>
        <w:t>）强化公众监督。</w:t>
      </w:r>
      <w:r>
        <w:rPr>
          <w:rFonts w:hint="eastAsia" w:ascii="Times New Roman" w:hAnsi="Times New Roman" w:eastAsia="仿宋_GB2312" w:cs="Times New Roman"/>
          <w:color w:val="auto"/>
          <w:sz w:val="32"/>
          <w:szCs w:val="32"/>
          <w:highlight w:val="none"/>
        </w:rPr>
        <w:t>加强事中事后监管措施，</w:t>
      </w:r>
      <w:r>
        <w:rPr>
          <w:rFonts w:hint="eastAsia" w:ascii="Times New Roman" w:hAnsi="Times New Roman" w:eastAsia="仿宋_GB2312" w:cs="Times New Roman"/>
          <w:color w:val="auto"/>
          <w:sz w:val="32"/>
          <w:szCs w:val="32"/>
          <w:highlight w:val="none"/>
          <w:lang w:eastAsia="zh-CN"/>
        </w:rPr>
        <w:t>主动</w:t>
      </w:r>
      <w:r>
        <w:rPr>
          <w:rFonts w:hint="eastAsia" w:ascii="Times New Roman" w:hAnsi="Times New Roman" w:eastAsia="仿宋_GB2312" w:cs="Times New Roman"/>
          <w:color w:val="auto"/>
          <w:sz w:val="32"/>
          <w:szCs w:val="32"/>
          <w:highlight w:val="none"/>
        </w:rPr>
        <w:t>做好公开公示，自觉接受群众监督</w:t>
      </w:r>
      <w:r>
        <w:rPr>
          <w:rFonts w:hint="eastAsia" w:ascii="Times New Roman" w:hAnsi="Times New Roman" w:eastAsia="仿宋_GB2312" w:cs="Times New Roman"/>
          <w:color w:val="auto"/>
          <w:sz w:val="32"/>
          <w:szCs w:val="32"/>
          <w:highlight w:val="none"/>
          <w:lang w:eastAsia="zh-CN"/>
        </w:rPr>
        <w:t>。规划许可证核发部门应当</w:t>
      </w:r>
      <w:r>
        <w:rPr>
          <w:rFonts w:hint="eastAsia" w:ascii="Times New Roman" w:hAnsi="Times New Roman" w:eastAsia="仿宋_GB2312" w:cs="Times New Roman"/>
          <w:color w:val="auto"/>
          <w:sz w:val="32"/>
          <w:szCs w:val="32"/>
          <w:highlight w:val="none"/>
        </w:rPr>
        <w:t>按照《自然资源领域基层政务公开标准指引》规定，</w:t>
      </w:r>
      <w:r>
        <w:rPr>
          <w:rFonts w:hint="eastAsia" w:ascii="Times New Roman" w:hAnsi="Times New Roman" w:eastAsia="仿宋_GB2312" w:cs="Times New Roman"/>
          <w:color w:val="auto"/>
          <w:sz w:val="32"/>
          <w:szCs w:val="32"/>
          <w:highlight w:val="none"/>
          <w:lang w:eastAsia="zh-CN"/>
        </w:rPr>
        <w:t>除涉密项目外，核发建设工程规划许可证前将依法审定后的建设工程设计方案总平面图予以公布；在</w:t>
      </w:r>
      <w:r>
        <w:rPr>
          <w:rFonts w:hint="eastAsia" w:ascii="Times New Roman" w:hAnsi="Times New Roman" w:eastAsia="仿宋_GB2312" w:cs="Times New Roman"/>
          <w:color w:val="auto"/>
          <w:sz w:val="32"/>
          <w:szCs w:val="32"/>
          <w:highlight w:val="none"/>
        </w:rPr>
        <w:t>作出规划许可行政决定之日起</w:t>
      </w:r>
      <w:r>
        <w:rPr>
          <w:rFonts w:hint="eastAsia" w:ascii="仿宋_GB2312" w:hAnsi="仿宋" w:eastAsia="仿宋_GB2312" w:cs="仿宋"/>
          <w:color w:val="auto"/>
          <w:sz w:val="32"/>
          <w:highlight w:val="none"/>
        </w:rPr>
        <w:t>7</w:t>
      </w:r>
      <w:r>
        <w:rPr>
          <w:rFonts w:hint="eastAsia" w:ascii="Times New Roman" w:hAnsi="Times New Roman" w:eastAsia="仿宋_GB2312" w:cs="Times New Roman"/>
          <w:color w:val="auto"/>
          <w:sz w:val="32"/>
          <w:szCs w:val="32"/>
          <w:highlight w:val="none"/>
        </w:rPr>
        <w:t>个工作日内通过</w:t>
      </w:r>
      <w:r>
        <w:rPr>
          <w:rFonts w:hint="eastAsia" w:ascii="Times New Roman" w:hAnsi="Times New Roman" w:eastAsia="仿宋_GB2312" w:cs="Times New Roman"/>
          <w:color w:val="auto"/>
          <w:sz w:val="32"/>
          <w:szCs w:val="32"/>
          <w:highlight w:val="none"/>
          <w:lang w:eastAsia="zh-CN"/>
        </w:rPr>
        <w:t>政府网站等</w:t>
      </w:r>
      <w:r>
        <w:rPr>
          <w:rFonts w:hint="eastAsia" w:ascii="Times New Roman" w:hAnsi="Times New Roman" w:eastAsia="仿宋_GB2312" w:cs="Times New Roman"/>
          <w:color w:val="auto"/>
          <w:sz w:val="32"/>
          <w:szCs w:val="32"/>
          <w:highlight w:val="none"/>
        </w:rPr>
        <w:t>适当方式向社会公开。市、县自然资源主管部门或者其他有关部门接到举报或者控告违反规划许可的行为线索后，应当及时受理并依法核查或移交。</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firstLine="640" w:firstLineChars="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本通知自下发之日起执行，纳入各市县处遗清单的建设项目，可按照处遗政策执行。乡村建设规划许可证按照《陕西省自然资源厅关于进一步规范乡村建设规划许可管理工作的通知》等文件管理。国家、省出台相关法律法规另有规定的，从其规定。</w:t>
      </w:r>
    </w:p>
    <w:p>
      <w:pPr>
        <w:pStyle w:val="14"/>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 w:eastAsia="仿宋_GB2312" w:cs="仿宋"/>
          <w:b/>
          <w:bCs/>
          <w:color w:val="auto"/>
          <w:sz w:val="32"/>
          <w:szCs w:val="32"/>
        </w:rPr>
      </w:pPr>
    </w:p>
    <w:p>
      <w:pPr>
        <w:pStyle w:val="14"/>
        <w:keepNext w:val="0"/>
        <w:keepLines w:val="0"/>
        <w:pageBreakBefore w:val="0"/>
        <w:widowControl w:val="0"/>
        <w:kinsoku/>
        <w:wordWrap/>
        <w:overflowPunct/>
        <w:topLinePunct w:val="0"/>
        <w:autoSpaceDE/>
        <w:autoSpaceDN/>
        <w:bidi w:val="0"/>
        <w:adjustRightInd/>
        <w:snapToGrid/>
        <w:spacing w:line="600" w:lineRule="exact"/>
        <w:ind w:left="0"/>
        <w:jc w:val="left"/>
        <w:textAlignment w:val="auto"/>
        <w:rPr>
          <w:rFonts w:hint="eastAsia" w:ascii="仿宋_GB2312" w:hAnsi="仿宋" w:eastAsia="仿宋_GB2312" w:cs="仿宋"/>
          <w:b/>
          <w:bCs/>
          <w:color w:val="auto"/>
          <w:sz w:val="32"/>
          <w:szCs w:val="32"/>
        </w:rPr>
      </w:pPr>
    </w:p>
    <w:p>
      <w:pPr>
        <w:pStyle w:val="14"/>
        <w:keepNext w:val="0"/>
        <w:keepLines w:val="0"/>
        <w:pageBreakBefore w:val="0"/>
        <w:widowControl w:val="0"/>
        <w:kinsoku/>
        <w:wordWrap/>
        <w:overflowPunct/>
        <w:topLinePunct w:val="0"/>
        <w:autoSpaceDE/>
        <w:autoSpaceDN/>
        <w:bidi w:val="0"/>
        <w:adjustRightInd/>
        <w:snapToGrid/>
        <w:spacing w:line="600" w:lineRule="exact"/>
        <w:ind w:left="0" w:firstLine="1484" w:firstLineChars="462"/>
        <w:jc w:val="center"/>
        <w:textAlignment w:val="auto"/>
        <w:rPr>
          <w:rFonts w:ascii="仿宋_GB2312" w:hAnsi="仿宋" w:eastAsia="仿宋_GB2312" w:cs="仿宋"/>
          <w:color w:val="auto"/>
          <w:sz w:val="32"/>
          <w:szCs w:val="32"/>
        </w:rPr>
      </w:pPr>
      <w:r>
        <w:rPr>
          <w:rFonts w:ascii="仿宋_GB2312" w:hAnsi="仿宋" w:eastAsia="仿宋_GB2312" w:cs="仿宋"/>
          <w:b/>
          <w:bCs/>
          <w:color w:val="auto"/>
          <w:sz w:val="32"/>
          <w:szCs w:val="32"/>
        </w:rPr>
        <w:t xml:space="preserve">          </w:t>
      </w:r>
      <w:r>
        <w:rPr>
          <w:rFonts w:hint="eastAsia" w:ascii="仿宋_GB2312" w:hAnsi="仿宋" w:eastAsia="仿宋_GB2312" w:cs="仿宋"/>
          <w:color w:val="auto"/>
          <w:sz w:val="32"/>
          <w:szCs w:val="32"/>
        </w:rPr>
        <w:t>陕西省自然资源厅</w:t>
      </w:r>
    </w:p>
    <w:p>
      <w:pPr>
        <w:pStyle w:val="14"/>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center"/>
        <w:textAlignment w:val="auto"/>
        <w:rPr>
          <w:rFonts w:hint="eastAsia" w:ascii="仿宋_GB2312" w:hAnsi="仿宋" w:eastAsia="仿宋_GB2312" w:cs="仿宋"/>
          <w:color w:val="auto"/>
          <w:sz w:val="32"/>
          <w:szCs w:val="32"/>
          <w:lang w:val="en-US" w:eastAsia="zh-CN"/>
        </w:rPr>
      </w:pPr>
      <w:r>
        <w:rPr>
          <w:rFonts w:ascii="仿宋_GB2312" w:hAnsi="仿宋" w:eastAsia="仿宋_GB2312" w:cs="仿宋"/>
          <w:color w:val="auto"/>
          <w:sz w:val="32"/>
          <w:szCs w:val="32"/>
        </w:rPr>
        <w:t xml:space="preserve">                </w:t>
      </w:r>
      <w:r>
        <w:rPr>
          <w:rFonts w:hint="eastAsia" w:ascii="仿宋_GB2312" w:hAnsi="仿宋" w:eastAsia="仿宋_GB2312" w:cs="仿宋"/>
          <w:color w:val="auto"/>
          <w:sz w:val="32"/>
          <w:szCs w:val="32"/>
        </w:rPr>
        <w:t>202</w:t>
      </w:r>
      <w:r>
        <w:rPr>
          <w:rFonts w:hint="eastAsia" w:ascii="仿宋_GB2312" w:hAnsi="仿宋" w:eastAsia="仿宋_GB2312" w:cs="仿宋"/>
          <w:color w:val="auto"/>
          <w:sz w:val="32"/>
          <w:szCs w:val="32"/>
          <w:lang w:val="en-US" w:eastAsia="zh-CN"/>
        </w:rPr>
        <w:t>5</w:t>
      </w:r>
      <w:r>
        <w:rPr>
          <w:rFonts w:hint="eastAsia" w:ascii="仿宋_GB2312" w:hAnsi="仿宋" w:eastAsia="仿宋_GB2312" w:cs="仿宋"/>
          <w:color w:val="auto"/>
          <w:sz w:val="32"/>
          <w:szCs w:val="32"/>
        </w:rPr>
        <w:t>年</w:t>
      </w:r>
      <w:r>
        <w:rPr>
          <w:rFonts w:hint="eastAsia" w:ascii="仿宋_GB2312" w:hAnsi="仿宋" w:eastAsia="仿宋_GB2312" w:cs="仿宋"/>
          <w:color w:val="auto"/>
          <w:sz w:val="32"/>
          <w:szCs w:val="32"/>
          <w:lang w:val="en-US" w:eastAsia="zh-CN"/>
        </w:rPr>
        <w:t>12</w:t>
      </w:r>
      <w:r>
        <w:rPr>
          <w:rFonts w:hint="eastAsia" w:ascii="仿宋_GB2312" w:hAnsi="仿宋" w:eastAsia="仿宋_GB2312" w:cs="仿宋"/>
          <w:color w:val="auto"/>
          <w:sz w:val="32"/>
          <w:szCs w:val="32"/>
        </w:rPr>
        <w:t>月</w:t>
      </w:r>
      <w:r>
        <w:rPr>
          <w:rFonts w:hint="eastAsia" w:ascii="CESI黑体-GB2312" w:hAnsi="CESI黑体-GB2312" w:eastAsia="CESI黑体-GB2312" w:cs="CESI黑体-GB2312"/>
          <w:color w:val="auto"/>
          <w:sz w:val="32"/>
          <w:szCs w:val="32"/>
          <w:lang w:val="en-US" w:eastAsia="zh-CN"/>
        </w:rPr>
        <w:t xml:space="preserve"> </w:t>
      </w:r>
      <w:r>
        <w:rPr>
          <w:rFonts w:hint="eastAsia" w:ascii="仿宋_GB2312" w:hAnsi="仿宋" w:eastAsia="仿宋_GB2312" w:cs="仿宋"/>
          <w:color w:val="auto"/>
          <w:sz w:val="32"/>
          <w:szCs w:val="32"/>
          <w:lang w:val="en-US" w:eastAsia="zh-CN"/>
        </w:rPr>
        <w:t>日</w:t>
      </w:r>
    </w:p>
    <w:p>
      <w:pPr>
        <w:pStyle w:val="14"/>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抄送：陕西省住房和城乡建设厅，各设区市人民政府</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CESI黑体-GB2312">
    <w:panose1 w:val="02000500000000000000"/>
    <w:charset w:val="86"/>
    <w:family w:val="auto"/>
    <w:pitch w:val="default"/>
    <w:sig w:usb0="800002BF" w:usb1="184F6CF8" w:usb2="00000012" w:usb3="00000000" w:csb0="0004000F"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3264"/>
                          </w:sdtPr>
                          <w:sdtContent>
                            <w:p>
                              <w:pPr>
                                <w:pStyle w:val="5"/>
                                <w:jc w:val="cente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PAGE   \* MERGEFORMAT</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lang w:val="zh-CN"/>
                                </w:rPr>
                                <w:t>2</w:t>
                              </w:r>
                              <w:r>
                                <w:rPr>
                                  <w:rFonts w:hint="eastAsia" w:asciiTheme="minorEastAsia" w:hAnsiTheme="minorEastAsia" w:cstheme="minorEastAsia"/>
                                  <w:sz w:val="28"/>
                                  <w:szCs w:val="28"/>
                                </w:rPr>
                                <w:fldChar w:fldCharType="end"/>
                              </w:r>
                            </w:p>
                          </w:sdtContent>
                        </w:sdt>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sdt>
                    <w:sdtPr>
                      <w:id w:val="147463264"/>
                    </w:sdtPr>
                    <w:sdtContent>
                      <w:p>
                        <w:pPr>
                          <w:pStyle w:val="5"/>
                          <w:jc w:val="cente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PAGE   \* MERGEFORMAT</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lang w:val="zh-CN"/>
                          </w:rPr>
                          <w:t>2</w:t>
                        </w:r>
                        <w:r>
                          <w:rPr>
                            <w:rFonts w:hint="eastAsia" w:asciiTheme="minorEastAsia" w:hAnsiTheme="minorEastAsia" w:cstheme="minorEastAsia"/>
                            <w:sz w:val="28"/>
                            <w:szCs w:val="28"/>
                          </w:rPr>
                          <w:fldChar w:fldCharType="end"/>
                        </w:r>
                      </w:p>
                    </w:sdtContent>
                  </w:sdt>
                  <w:p/>
                </w:txbxContent>
              </v:textbox>
            </v:shape>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pStyle w:val="2"/>
      <w:suff w:val="nothing"/>
      <w:lvlText w:val=""/>
      <w:lvlJc w:val="left"/>
      <w:pPr>
        <w:tabs>
          <w:tab w:val="left" w:pos="0"/>
        </w:tabs>
        <w:ind w:left="425" w:hanging="425"/>
      </w:pPr>
    </w:lvl>
    <w:lvl w:ilvl="1" w:tentative="0">
      <w:start w:val="1"/>
      <w:numFmt w:val="none"/>
      <w:lvlRestart w:val="0"/>
      <w:suff w:val="nothing"/>
      <w:lvlText w:val=""/>
      <w:lvlJc w:val="left"/>
      <w:pPr>
        <w:tabs>
          <w:tab w:val="left" w:pos="0"/>
        </w:tabs>
        <w:ind w:left="992" w:hanging="992"/>
      </w:pPr>
    </w:lvl>
    <w:lvl w:ilvl="2" w:tentative="0">
      <w:start w:val="1"/>
      <w:numFmt w:val="none"/>
      <w:lvlRestart w:val="0"/>
      <w:suff w:val="nothing"/>
      <w:lvlText w:val=""/>
      <w:lvlJc w:val="left"/>
      <w:pPr>
        <w:tabs>
          <w:tab w:val="left" w:pos="0"/>
        </w:tabs>
        <w:ind w:left="1418" w:hanging="1418"/>
      </w:pPr>
    </w:lvl>
    <w:lvl w:ilvl="3" w:tentative="0">
      <w:start w:val="1"/>
      <w:numFmt w:val="none"/>
      <w:lvlRestart w:val="0"/>
      <w:suff w:val="nothing"/>
      <w:lvlText w:val=""/>
      <w:lvlJc w:val="left"/>
      <w:pPr>
        <w:tabs>
          <w:tab w:val="left" w:pos="0"/>
        </w:tabs>
        <w:ind w:left="1984" w:hanging="1984"/>
      </w:pPr>
    </w:lvl>
    <w:lvl w:ilvl="4" w:tentative="0">
      <w:start w:val="1"/>
      <w:numFmt w:val="none"/>
      <w:lvlRestart w:val="0"/>
      <w:suff w:val="nothing"/>
      <w:lvlText w:val=""/>
      <w:lvlJc w:val="left"/>
      <w:pPr>
        <w:tabs>
          <w:tab w:val="left" w:pos="0"/>
        </w:tabs>
        <w:ind w:left="2551" w:hanging="2551"/>
      </w:pPr>
    </w:lvl>
    <w:lvl w:ilvl="5" w:tentative="0">
      <w:start w:val="1"/>
      <w:numFmt w:val="none"/>
      <w:lvlRestart w:val="0"/>
      <w:suff w:val="nothing"/>
      <w:lvlText w:val=""/>
      <w:lvlJc w:val="left"/>
      <w:pPr>
        <w:tabs>
          <w:tab w:val="left" w:pos="0"/>
        </w:tabs>
        <w:ind w:left="3260" w:hanging="3260"/>
      </w:pPr>
    </w:lvl>
    <w:lvl w:ilvl="6" w:tentative="0">
      <w:start w:val="1"/>
      <w:numFmt w:val="none"/>
      <w:lvlRestart w:val="0"/>
      <w:suff w:val="nothing"/>
      <w:lvlText w:val=""/>
      <w:lvlJc w:val="left"/>
      <w:pPr>
        <w:tabs>
          <w:tab w:val="left" w:pos="0"/>
        </w:tabs>
        <w:ind w:left="3827" w:hanging="3827"/>
      </w:pPr>
    </w:lvl>
    <w:lvl w:ilvl="7" w:tentative="0">
      <w:start w:val="1"/>
      <w:numFmt w:val="none"/>
      <w:lvlRestart w:val="0"/>
      <w:suff w:val="nothing"/>
      <w:lvlText w:val=""/>
      <w:lvlJc w:val="left"/>
      <w:pPr>
        <w:tabs>
          <w:tab w:val="left" w:pos="0"/>
        </w:tabs>
        <w:ind w:left="4394" w:hanging="4394"/>
      </w:pPr>
    </w:lvl>
    <w:lvl w:ilvl="8" w:tentative="0">
      <w:start w:val="1"/>
      <w:numFmt w:val="none"/>
      <w:lvlRestart w:val="0"/>
      <w:suff w:val="nothing"/>
      <w:lvlText w:val=""/>
      <w:lvlJc w:val="left"/>
      <w:pPr>
        <w:tabs>
          <w:tab w:val="left" w:pos="0"/>
        </w:tabs>
        <w:ind w:left="5102" w:hanging="5102"/>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漠月">
    <w15:presenceInfo w15:providerId="WPS Office" w15:userId="12189269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1ODAyMGJjZGZjMzIxMzQ2YTk5NzZlNGQ1MTlmNzEifQ=="/>
  </w:docVars>
  <w:rsids>
    <w:rsidRoot w:val="FF33F182"/>
    <w:rsid w:val="000203D3"/>
    <w:rsid w:val="00067715"/>
    <w:rsid w:val="00083013"/>
    <w:rsid w:val="00090B33"/>
    <w:rsid w:val="000B46B2"/>
    <w:rsid w:val="000C6720"/>
    <w:rsid w:val="000F39BC"/>
    <w:rsid w:val="000F64CD"/>
    <w:rsid w:val="001431E7"/>
    <w:rsid w:val="0017434D"/>
    <w:rsid w:val="001C4182"/>
    <w:rsid w:val="001F1546"/>
    <w:rsid w:val="002212B8"/>
    <w:rsid w:val="00246E19"/>
    <w:rsid w:val="0028227B"/>
    <w:rsid w:val="002B116F"/>
    <w:rsid w:val="002E241F"/>
    <w:rsid w:val="002F5B7E"/>
    <w:rsid w:val="00310CCE"/>
    <w:rsid w:val="003227B3"/>
    <w:rsid w:val="00333E9D"/>
    <w:rsid w:val="00396467"/>
    <w:rsid w:val="003A4392"/>
    <w:rsid w:val="003B0F1B"/>
    <w:rsid w:val="003C53B1"/>
    <w:rsid w:val="00400D9D"/>
    <w:rsid w:val="0040132F"/>
    <w:rsid w:val="004129BB"/>
    <w:rsid w:val="00485437"/>
    <w:rsid w:val="00493E7F"/>
    <w:rsid w:val="004A0BC7"/>
    <w:rsid w:val="004A63F1"/>
    <w:rsid w:val="004E5E6A"/>
    <w:rsid w:val="004F2FA4"/>
    <w:rsid w:val="00563A1E"/>
    <w:rsid w:val="005911C8"/>
    <w:rsid w:val="00591746"/>
    <w:rsid w:val="005948DD"/>
    <w:rsid w:val="00664DBB"/>
    <w:rsid w:val="0067060F"/>
    <w:rsid w:val="006739BA"/>
    <w:rsid w:val="006A0E72"/>
    <w:rsid w:val="006A1238"/>
    <w:rsid w:val="006A5AD2"/>
    <w:rsid w:val="006C4C9B"/>
    <w:rsid w:val="006E0253"/>
    <w:rsid w:val="006F4110"/>
    <w:rsid w:val="0070278F"/>
    <w:rsid w:val="00704F58"/>
    <w:rsid w:val="00714ADA"/>
    <w:rsid w:val="00722E8E"/>
    <w:rsid w:val="00735EDD"/>
    <w:rsid w:val="00743A4F"/>
    <w:rsid w:val="00752266"/>
    <w:rsid w:val="00757503"/>
    <w:rsid w:val="00777FC1"/>
    <w:rsid w:val="00785B2A"/>
    <w:rsid w:val="0079554B"/>
    <w:rsid w:val="007A04BA"/>
    <w:rsid w:val="007A4621"/>
    <w:rsid w:val="007D1F5F"/>
    <w:rsid w:val="007D3FC2"/>
    <w:rsid w:val="007E1F00"/>
    <w:rsid w:val="007E451F"/>
    <w:rsid w:val="00812867"/>
    <w:rsid w:val="00815022"/>
    <w:rsid w:val="00835006"/>
    <w:rsid w:val="00844409"/>
    <w:rsid w:val="0084516A"/>
    <w:rsid w:val="00862F5E"/>
    <w:rsid w:val="0088118E"/>
    <w:rsid w:val="008A57CC"/>
    <w:rsid w:val="008A72F1"/>
    <w:rsid w:val="008E2FA2"/>
    <w:rsid w:val="008E6300"/>
    <w:rsid w:val="008F1A3A"/>
    <w:rsid w:val="00932719"/>
    <w:rsid w:val="00932F8E"/>
    <w:rsid w:val="00947CDA"/>
    <w:rsid w:val="00950A2B"/>
    <w:rsid w:val="0097382A"/>
    <w:rsid w:val="00995352"/>
    <w:rsid w:val="009A55C1"/>
    <w:rsid w:val="009B7977"/>
    <w:rsid w:val="009F1949"/>
    <w:rsid w:val="00A320E4"/>
    <w:rsid w:val="00A3276F"/>
    <w:rsid w:val="00A64743"/>
    <w:rsid w:val="00A6517E"/>
    <w:rsid w:val="00A77B65"/>
    <w:rsid w:val="00A925D8"/>
    <w:rsid w:val="00A935F6"/>
    <w:rsid w:val="00A95F2C"/>
    <w:rsid w:val="00AC69DC"/>
    <w:rsid w:val="00B133E5"/>
    <w:rsid w:val="00B24017"/>
    <w:rsid w:val="00B46F50"/>
    <w:rsid w:val="00B5252A"/>
    <w:rsid w:val="00B72BA8"/>
    <w:rsid w:val="00B915E6"/>
    <w:rsid w:val="00B92AA3"/>
    <w:rsid w:val="00BA2EA7"/>
    <w:rsid w:val="00BB32EA"/>
    <w:rsid w:val="00BB6CDB"/>
    <w:rsid w:val="00C00314"/>
    <w:rsid w:val="00C17525"/>
    <w:rsid w:val="00C75587"/>
    <w:rsid w:val="00CA3F52"/>
    <w:rsid w:val="00CC053D"/>
    <w:rsid w:val="00D000D7"/>
    <w:rsid w:val="00D04B1C"/>
    <w:rsid w:val="00D2734F"/>
    <w:rsid w:val="00D40A11"/>
    <w:rsid w:val="00D4603F"/>
    <w:rsid w:val="00D53ACE"/>
    <w:rsid w:val="00D635D1"/>
    <w:rsid w:val="00DA4D59"/>
    <w:rsid w:val="00E07319"/>
    <w:rsid w:val="00E11C87"/>
    <w:rsid w:val="00E4567E"/>
    <w:rsid w:val="00E640A8"/>
    <w:rsid w:val="00EA06D3"/>
    <w:rsid w:val="00EB2F33"/>
    <w:rsid w:val="00EB5F63"/>
    <w:rsid w:val="00ED3A1A"/>
    <w:rsid w:val="00EF4E18"/>
    <w:rsid w:val="00F44537"/>
    <w:rsid w:val="00FB0114"/>
    <w:rsid w:val="00FD2F08"/>
    <w:rsid w:val="00FE7896"/>
    <w:rsid w:val="00FF1C3A"/>
    <w:rsid w:val="00FF4DBA"/>
    <w:rsid w:val="00FF7059"/>
    <w:rsid w:val="06FD68E4"/>
    <w:rsid w:val="0AFEA02F"/>
    <w:rsid w:val="0BEF117A"/>
    <w:rsid w:val="0BF63207"/>
    <w:rsid w:val="0BFEC3D3"/>
    <w:rsid w:val="0CF726C5"/>
    <w:rsid w:val="0D456576"/>
    <w:rsid w:val="0D9A8306"/>
    <w:rsid w:val="0DE3EFD2"/>
    <w:rsid w:val="0EFDBA93"/>
    <w:rsid w:val="0F354040"/>
    <w:rsid w:val="118712CE"/>
    <w:rsid w:val="12A85BB1"/>
    <w:rsid w:val="131C321D"/>
    <w:rsid w:val="170D60E8"/>
    <w:rsid w:val="17B729B2"/>
    <w:rsid w:val="17D6A079"/>
    <w:rsid w:val="1B0F2ECE"/>
    <w:rsid w:val="1B2F0129"/>
    <w:rsid w:val="1B3DBC77"/>
    <w:rsid w:val="1BA74E7F"/>
    <w:rsid w:val="1C5394DD"/>
    <w:rsid w:val="1D7F37AC"/>
    <w:rsid w:val="1E1FFC41"/>
    <w:rsid w:val="1E7B6F09"/>
    <w:rsid w:val="1E8C71F2"/>
    <w:rsid w:val="1F3FB872"/>
    <w:rsid w:val="1FED6629"/>
    <w:rsid w:val="1FFD96CF"/>
    <w:rsid w:val="1FFF71EE"/>
    <w:rsid w:val="214E3DC8"/>
    <w:rsid w:val="23BFEB06"/>
    <w:rsid w:val="23F30C56"/>
    <w:rsid w:val="23FA7632"/>
    <w:rsid w:val="250173C8"/>
    <w:rsid w:val="25FA3E6D"/>
    <w:rsid w:val="272378FF"/>
    <w:rsid w:val="277E06D7"/>
    <w:rsid w:val="27FE8906"/>
    <w:rsid w:val="2BA6A849"/>
    <w:rsid w:val="2BFF0226"/>
    <w:rsid w:val="2BFF23B1"/>
    <w:rsid w:val="2CBFC2A6"/>
    <w:rsid w:val="2D358875"/>
    <w:rsid w:val="2D75F1D1"/>
    <w:rsid w:val="2DDF092C"/>
    <w:rsid w:val="2EFBE017"/>
    <w:rsid w:val="2EFC3C7A"/>
    <w:rsid w:val="2EFD5F1C"/>
    <w:rsid w:val="2F612771"/>
    <w:rsid w:val="2F6F1779"/>
    <w:rsid w:val="2F7D9D6B"/>
    <w:rsid w:val="2F7FDD86"/>
    <w:rsid w:val="2FFE5AB5"/>
    <w:rsid w:val="2FFF22A2"/>
    <w:rsid w:val="2FFFC505"/>
    <w:rsid w:val="31FF1E95"/>
    <w:rsid w:val="33E5F78B"/>
    <w:rsid w:val="366C3891"/>
    <w:rsid w:val="377FD1B5"/>
    <w:rsid w:val="37B489F0"/>
    <w:rsid w:val="37B72150"/>
    <w:rsid w:val="37BEE0D3"/>
    <w:rsid w:val="37FE7566"/>
    <w:rsid w:val="38DF258D"/>
    <w:rsid w:val="38FBCFF6"/>
    <w:rsid w:val="39EBDF21"/>
    <w:rsid w:val="3A9519B5"/>
    <w:rsid w:val="3B7F203E"/>
    <w:rsid w:val="3B7FE0D5"/>
    <w:rsid w:val="3CDFD81D"/>
    <w:rsid w:val="3D3D1AE8"/>
    <w:rsid w:val="3DAEAE3C"/>
    <w:rsid w:val="3DDBAFF5"/>
    <w:rsid w:val="3DDE44B5"/>
    <w:rsid w:val="3DFC45DF"/>
    <w:rsid w:val="3E7E6028"/>
    <w:rsid w:val="3EDD8BBD"/>
    <w:rsid w:val="3EEB1A8D"/>
    <w:rsid w:val="3EFD0657"/>
    <w:rsid w:val="3F1F646F"/>
    <w:rsid w:val="3F400CAB"/>
    <w:rsid w:val="3F6F54DE"/>
    <w:rsid w:val="3FAD4665"/>
    <w:rsid w:val="3FAD91FD"/>
    <w:rsid w:val="3FBB4B3D"/>
    <w:rsid w:val="3FDB3C55"/>
    <w:rsid w:val="3FDECCDE"/>
    <w:rsid w:val="3FDF3974"/>
    <w:rsid w:val="3FEB5343"/>
    <w:rsid w:val="3FFB575F"/>
    <w:rsid w:val="3FFDD6FF"/>
    <w:rsid w:val="3FFE8F63"/>
    <w:rsid w:val="3FFF37A4"/>
    <w:rsid w:val="3FFF93B1"/>
    <w:rsid w:val="4063257E"/>
    <w:rsid w:val="417F1FFE"/>
    <w:rsid w:val="44BE707B"/>
    <w:rsid w:val="468D053A"/>
    <w:rsid w:val="471F529B"/>
    <w:rsid w:val="477A7C27"/>
    <w:rsid w:val="4CD6B7C9"/>
    <w:rsid w:val="4EDACD30"/>
    <w:rsid w:val="4F3A75B6"/>
    <w:rsid w:val="4F65CA48"/>
    <w:rsid w:val="4F6E5365"/>
    <w:rsid w:val="4F7E2FB9"/>
    <w:rsid w:val="4FBD5BFF"/>
    <w:rsid w:val="4FCB8633"/>
    <w:rsid w:val="4FF4529B"/>
    <w:rsid w:val="53C20419"/>
    <w:rsid w:val="53CE0D2C"/>
    <w:rsid w:val="53DBB77B"/>
    <w:rsid w:val="543663BF"/>
    <w:rsid w:val="5566294E"/>
    <w:rsid w:val="569F03FE"/>
    <w:rsid w:val="56EF6F11"/>
    <w:rsid w:val="575DFBBC"/>
    <w:rsid w:val="577F1D7D"/>
    <w:rsid w:val="5B5C1C83"/>
    <w:rsid w:val="5B5DA414"/>
    <w:rsid w:val="5B7F2E5A"/>
    <w:rsid w:val="5CEBEF11"/>
    <w:rsid w:val="5CF39B21"/>
    <w:rsid w:val="5DDBBB85"/>
    <w:rsid w:val="5DEE0117"/>
    <w:rsid w:val="5DF9B9A4"/>
    <w:rsid w:val="5DFF3391"/>
    <w:rsid w:val="5E5F55D5"/>
    <w:rsid w:val="5EFB7A6F"/>
    <w:rsid w:val="5F3EE56B"/>
    <w:rsid w:val="5F7FC0DA"/>
    <w:rsid w:val="5FB76888"/>
    <w:rsid w:val="5FB97D00"/>
    <w:rsid w:val="5FBBEDC1"/>
    <w:rsid w:val="5FBD858D"/>
    <w:rsid w:val="5FDBD00D"/>
    <w:rsid w:val="60D94755"/>
    <w:rsid w:val="623EEFED"/>
    <w:rsid w:val="63B84AF5"/>
    <w:rsid w:val="63F7362E"/>
    <w:rsid w:val="654DB32D"/>
    <w:rsid w:val="66AF60BA"/>
    <w:rsid w:val="6707625C"/>
    <w:rsid w:val="683DE4B1"/>
    <w:rsid w:val="691DE557"/>
    <w:rsid w:val="692F7608"/>
    <w:rsid w:val="69FD4032"/>
    <w:rsid w:val="6A4E48E5"/>
    <w:rsid w:val="6AD25042"/>
    <w:rsid w:val="6AFDD25D"/>
    <w:rsid w:val="6B3DC39E"/>
    <w:rsid w:val="6B6DD443"/>
    <w:rsid w:val="6BB738C4"/>
    <w:rsid w:val="6BFF21FB"/>
    <w:rsid w:val="6C753837"/>
    <w:rsid w:val="6D37D2F0"/>
    <w:rsid w:val="6DBF22AC"/>
    <w:rsid w:val="6DF0F5EA"/>
    <w:rsid w:val="6DF7068D"/>
    <w:rsid w:val="6E6C6C08"/>
    <w:rsid w:val="6E7D8CD1"/>
    <w:rsid w:val="6EBDD670"/>
    <w:rsid w:val="6EFCFF43"/>
    <w:rsid w:val="6FADCA04"/>
    <w:rsid w:val="6FBF2E28"/>
    <w:rsid w:val="6FF23E96"/>
    <w:rsid w:val="6FFDDB65"/>
    <w:rsid w:val="703E3C9A"/>
    <w:rsid w:val="70BE543D"/>
    <w:rsid w:val="717B4C47"/>
    <w:rsid w:val="72EF7726"/>
    <w:rsid w:val="733FF091"/>
    <w:rsid w:val="736E6FB5"/>
    <w:rsid w:val="737752CA"/>
    <w:rsid w:val="739D6679"/>
    <w:rsid w:val="73A004CB"/>
    <w:rsid w:val="741FE13E"/>
    <w:rsid w:val="76EB715A"/>
    <w:rsid w:val="76F5E2BB"/>
    <w:rsid w:val="76FF0138"/>
    <w:rsid w:val="76FFEA2A"/>
    <w:rsid w:val="775DD224"/>
    <w:rsid w:val="776F578D"/>
    <w:rsid w:val="776FA0F8"/>
    <w:rsid w:val="77CB8130"/>
    <w:rsid w:val="77DF256A"/>
    <w:rsid w:val="77F367D8"/>
    <w:rsid w:val="77FE8254"/>
    <w:rsid w:val="78451239"/>
    <w:rsid w:val="7852F255"/>
    <w:rsid w:val="789E7F39"/>
    <w:rsid w:val="78DC6AC4"/>
    <w:rsid w:val="78EFF390"/>
    <w:rsid w:val="78FCF535"/>
    <w:rsid w:val="79BBA78E"/>
    <w:rsid w:val="79FB134F"/>
    <w:rsid w:val="79FF0DEA"/>
    <w:rsid w:val="79FF499C"/>
    <w:rsid w:val="7AEF3E7E"/>
    <w:rsid w:val="7B3CB4E7"/>
    <w:rsid w:val="7B73EA06"/>
    <w:rsid w:val="7B7B827D"/>
    <w:rsid w:val="7BB348E6"/>
    <w:rsid w:val="7BB5263B"/>
    <w:rsid w:val="7BBF6F41"/>
    <w:rsid w:val="7BDB081A"/>
    <w:rsid w:val="7BFB1DE1"/>
    <w:rsid w:val="7BFDC029"/>
    <w:rsid w:val="7BFF3A01"/>
    <w:rsid w:val="7C7FCDB5"/>
    <w:rsid w:val="7CBFEE99"/>
    <w:rsid w:val="7CD06363"/>
    <w:rsid w:val="7CDF4EB2"/>
    <w:rsid w:val="7CFE672A"/>
    <w:rsid w:val="7CFE6D15"/>
    <w:rsid w:val="7CFF11A0"/>
    <w:rsid w:val="7D3FB47C"/>
    <w:rsid w:val="7D9BFA13"/>
    <w:rsid w:val="7DA22646"/>
    <w:rsid w:val="7DBF0755"/>
    <w:rsid w:val="7DDE75D5"/>
    <w:rsid w:val="7DEB730A"/>
    <w:rsid w:val="7DF6C58A"/>
    <w:rsid w:val="7DFF6E0E"/>
    <w:rsid w:val="7E277A2E"/>
    <w:rsid w:val="7E7DC5C4"/>
    <w:rsid w:val="7E7EF796"/>
    <w:rsid w:val="7E9D2135"/>
    <w:rsid w:val="7EB7149F"/>
    <w:rsid w:val="7ED5C5CA"/>
    <w:rsid w:val="7EE2AB49"/>
    <w:rsid w:val="7EFBA48F"/>
    <w:rsid w:val="7EFD7C13"/>
    <w:rsid w:val="7EFE61E6"/>
    <w:rsid w:val="7EFED854"/>
    <w:rsid w:val="7EFF6AD9"/>
    <w:rsid w:val="7F2D02F3"/>
    <w:rsid w:val="7F2ECE55"/>
    <w:rsid w:val="7F3F85AE"/>
    <w:rsid w:val="7F3FEF10"/>
    <w:rsid w:val="7F5F4E6E"/>
    <w:rsid w:val="7F6BABFF"/>
    <w:rsid w:val="7F72FDE5"/>
    <w:rsid w:val="7F765A27"/>
    <w:rsid w:val="7F7BD55A"/>
    <w:rsid w:val="7F7D2BBB"/>
    <w:rsid w:val="7F7E5166"/>
    <w:rsid w:val="7F9D8315"/>
    <w:rsid w:val="7F9F66B6"/>
    <w:rsid w:val="7F9FE22A"/>
    <w:rsid w:val="7FA2CF29"/>
    <w:rsid w:val="7FB11E37"/>
    <w:rsid w:val="7FB51B85"/>
    <w:rsid w:val="7FBC3BAD"/>
    <w:rsid w:val="7FBFF501"/>
    <w:rsid w:val="7FDC3A6C"/>
    <w:rsid w:val="7FDEA185"/>
    <w:rsid w:val="7FDF0DD9"/>
    <w:rsid w:val="7FDF10F6"/>
    <w:rsid w:val="7FDF6E5B"/>
    <w:rsid w:val="7FED6218"/>
    <w:rsid w:val="7FEFADB1"/>
    <w:rsid w:val="7FF73A35"/>
    <w:rsid w:val="7FF95D1E"/>
    <w:rsid w:val="7FFAE209"/>
    <w:rsid w:val="7FFF24A7"/>
    <w:rsid w:val="7FFF7373"/>
    <w:rsid w:val="7FFF90D2"/>
    <w:rsid w:val="7FFFE2F0"/>
    <w:rsid w:val="87E440CE"/>
    <w:rsid w:val="899FC741"/>
    <w:rsid w:val="8CEA83C5"/>
    <w:rsid w:val="8DB797E4"/>
    <w:rsid w:val="8FBECD19"/>
    <w:rsid w:val="97FEB402"/>
    <w:rsid w:val="9AC700D1"/>
    <w:rsid w:val="9AF1954E"/>
    <w:rsid w:val="9BD5FECD"/>
    <w:rsid w:val="9C7FD806"/>
    <w:rsid w:val="9DDF7195"/>
    <w:rsid w:val="9EED6EDA"/>
    <w:rsid w:val="9F7E73A8"/>
    <w:rsid w:val="9F7F7D8B"/>
    <w:rsid w:val="9FDBAA98"/>
    <w:rsid w:val="9FF1F051"/>
    <w:rsid w:val="A5D20CA0"/>
    <w:rsid w:val="A6EFE904"/>
    <w:rsid w:val="A7DF6FF4"/>
    <w:rsid w:val="AB6C13E4"/>
    <w:rsid w:val="ABDD48E2"/>
    <w:rsid w:val="ABFFB46B"/>
    <w:rsid w:val="AD7FAEA3"/>
    <w:rsid w:val="ADFEA46E"/>
    <w:rsid w:val="AF6B1668"/>
    <w:rsid w:val="AF77F49C"/>
    <w:rsid w:val="AFC705D7"/>
    <w:rsid w:val="AFDF7895"/>
    <w:rsid w:val="B1FFAB69"/>
    <w:rsid w:val="B27B2D19"/>
    <w:rsid w:val="B2DFFB8F"/>
    <w:rsid w:val="B2F7DE97"/>
    <w:rsid w:val="B3A3BB6A"/>
    <w:rsid w:val="B76D6F91"/>
    <w:rsid w:val="B77F5FEC"/>
    <w:rsid w:val="B78BD2F1"/>
    <w:rsid w:val="B7DFCA54"/>
    <w:rsid w:val="B7EDB316"/>
    <w:rsid w:val="B8FF114E"/>
    <w:rsid w:val="B95748E9"/>
    <w:rsid w:val="B9EF984D"/>
    <w:rsid w:val="BB314574"/>
    <w:rsid w:val="BB3DC5A4"/>
    <w:rsid w:val="BB8EDD51"/>
    <w:rsid w:val="BBEFF3E4"/>
    <w:rsid w:val="BCF7658F"/>
    <w:rsid w:val="BCFEAB01"/>
    <w:rsid w:val="BCFF8021"/>
    <w:rsid w:val="BD752092"/>
    <w:rsid w:val="BDBFE985"/>
    <w:rsid w:val="BDD9832F"/>
    <w:rsid w:val="BEE35469"/>
    <w:rsid w:val="BF1FE125"/>
    <w:rsid w:val="BF7F8F59"/>
    <w:rsid w:val="BFAFDC24"/>
    <w:rsid w:val="BFD7530F"/>
    <w:rsid w:val="BFD7D534"/>
    <w:rsid w:val="BFEEEDED"/>
    <w:rsid w:val="BFF7A351"/>
    <w:rsid w:val="BFF7A4B2"/>
    <w:rsid w:val="BFFCBFDA"/>
    <w:rsid w:val="C29A2416"/>
    <w:rsid w:val="C5FEB57C"/>
    <w:rsid w:val="C77FF9DD"/>
    <w:rsid w:val="C93FAA05"/>
    <w:rsid w:val="C9E79F64"/>
    <w:rsid w:val="CE4FDA7E"/>
    <w:rsid w:val="CEFF82B2"/>
    <w:rsid w:val="CFE1E7F1"/>
    <w:rsid w:val="CFF60F03"/>
    <w:rsid w:val="CFFB0E7C"/>
    <w:rsid w:val="CFFEE6F5"/>
    <w:rsid w:val="CFFFB176"/>
    <w:rsid w:val="D0FFA82F"/>
    <w:rsid w:val="D39687E1"/>
    <w:rsid w:val="D3BA5435"/>
    <w:rsid w:val="D3FD8177"/>
    <w:rsid w:val="D56BEEFD"/>
    <w:rsid w:val="D6FBEAAA"/>
    <w:rsid w:val="D75B2A43"/>
    <w:rsid w:val="D797CC02"/>
    <w:rsid w:val="D7DBC70A"/>
    <w:rsid w:val="D7FFE170"/>
    <w:rsid w:val="DABFAA1E"/>
    <w:rsid w:val="DAFD49C1"/>
    <w:rsid w:val="DBEEEDE9"/>
    <w:rsid w:val="DBF56C68"/>
    <w:rsid w:val="DBF6ED80"/>
    <w:rsid w:val="DBF797BC"/>
    <w:rsid w:val="DBFC3128"/>
    <w:rsid w:val="DD3ED804"/>
    <w:rsid w:val="DDBE1677"/>
    <w:rsid w:val="DDF9CBA1"/>
    <w:rsid w:val="DDFBBB0D"/>
    <w:rsid w:val="DECFFBDA"/>
    <w:rsid w:val="DF2F2690"/>
    <w:rsid w:val="DF58BEA5"/>
    <w:rsid w:val="DF7EE896"/>
    <w:rsid w:val="DFB71E35"/>
    <w:rsid w:val="DFD729F1"/>
    <w:rsid w:val="DFEF20EF"/>
    <w:rsid w:val="DFFF1C7A"/>
    <w:rsid w:val="DFFFB232"/>
    <w:rsid w:val="DFFFDBF1"/>
    <w:rsid w:val="E1FE7E7A"/>
    <w:rsid w:val="E65F81A9"/>
    <w:rsid w:val="E7BCE4E9"/>
    <w:rsid w:val="E7FF2E27"/>
    <w:rsid w:val="E80C6562"/>
    <w:rsid w:val="EA99D0AF"/>
    <w:rsid w:val="EB3E8E45"/>
    <w:rsid w:val="EB5B1DFB"/>
    <w:rsid w:val="EB73BFF5"/>
    <w:rsid w:val="EBBF6C5D"/>
    <w:rsid w:val="EBF737D7"/>
    <w:rsid w:val="EBFFF3B9"/>
    <w:rsid w:val="EDDD4BB5"/>
    <w:rsid w:val="EDDFA0D6"/>
    <w:rsid w:val="EDDFB376"/>
    <w:rsid w:val="EDFF226E"/>
    <w:rsid w:val="EE3F6842"/>
    <w:rsid w:val="EE5D8D8C"/>
    <w:rsid w:val="EEBF0013"/>
    <w:rsid w:val="EEED0D93"/>
    <w:rsid w:val="EEED457E"/>
    <w:rsid w:val="EEF70FD7"/>
    <w:rsid w:val="EEFF6E61"/>
    <w:rsid w:val="EF570B0F"/>
    <w:rsid w:val="EF79DB39"/>
    <w:rsid w:val="EF7F7B73"/>
    <w:rsid w:val="EF9B349F"/>
    <w:rsid w:val="EF9E7BAF"/>
    <w:rsid w:val="EF9F0425"/>
    <w:rsid w:val="EFBF1175"/>
    <w:rsid w:val="EFEE13F0"/>
    <w:rsid w:val="EFEFBD5F"/>
    <w:rsid w:val="EFFB05B0"/>
    <w:rsid w:val="EFFB17A8"/>
    <w:rsid w:val="EFFD9093"/>
    <w:rsid w:val="F10FFEA5"/>
    <w:rsid w:val="F3D74238"/>
    <w:rsid w:val="F3EF2419"/>
    <w:rsid w:val="F4DE3DD8"/>
    <w:rsid w:val="F57F6DAE"/>
    <w:rsid w:val="F5EF407D"/>
    <w:rsid w:val="F5FBC797"/>
    <w:rsid w:val="F5FFECCD"/>
    <w:rsid w:val="F66FD4BE"/>
    <w:rsid w:val="F68AA60D"/>
    <w:rsid w:val="F6DDDA2B"/>
    <w:rsid w:val="F6FF8682"/>
    <w:rsid w:val="F75CEDC8"/>
    <w:rsid w:val="F76F90A9"/>
    <w:rsid w:val="F77F858D"/>
    <w:rsid w:val="F79D4685"/>
    <w:rsid w:val="F7BEC6AE"/>
    <w:rsid w:val="F7BF929E"/>
    <w:rsid w:val="F7D509DE"/>
    <w:rsid w:val="F7E1C2DA"/>
    <w:rsid w:val="F7E7FDDE"/>
    <w:rsid w:val="F7EE98F0"/>
    <w:rsid w:val="F7EFBC5B"/>
    <w:rsid w:val="F7F19AC1"/>
    <w:rsid w:val="F7FF2DFB"/>
    <w:rsid w:val="F7FF5DE6"/>
    <w:rsid w:val="F89F6F5F"/>
    <w:rsid w:val="F8FC2715"/>
    <w:rsid w:val="F9FFE2E3"/>
    <w:rsid w:val="FAD7723A"/>
    <w:rsid w:val="FADFE5BA"/>
    <w:rsid w:val="FB67599D"/>
    <w:rsid w:val="FB6F7FEE"/>
    <w:rsid w:val="FBB3238B"/>
    <w:rsid w:val="FBB3FCF2"/>
    <w:rsid w:val="FBBC3BE3"/>
    <w:rsid w:val="FBBFCAC2"/>
    <w:rsid w:val="FBCFA527"/>
    <w:rsid w:val="FBD740C9"/>
    <w:rsid w:val="FBED87D0"/>
    <w:rsid w:val="FBEF119B"/>
    <w:rsid w:val="FBF6BB33"/>
    <w:rsid w:val="FBF7032D"/>
    <w:rsid w:val="FBFB4ABA"/>
    <w:rsid w:val="FBFE16E1"/>
    <w:rsid w:val="FBFF7DD0"/>
    <w:rsid w:val="FCDFFF64"/>
    <w:rsid w:val="FCF3A9E0"/>
    <w:rsid w:val="FCFC0BB8"/>
    <w:rsid w:val="FDEF826B"/>
    <w:rsid w:val="FDFBA725"/>
    <w:rsid w:val="FDFFA72C"/>
    <w:rsid w:val="FDFFCBF3"/>
    <w:rsid w:val="FE3618B6"/>
    <w:rsid w:val="FE59584C"/>
    <w:rsid w:val="FE76F1B4"/>
    <w:rsid w:val="FE7E2944"/>
    <w:rsid w:val="FE8F1996"/>
    <w:rsid w:val="FE932C1E"/>
    <w:rsid w:val="FEBBEC96"/>
    <w:rsid w:val="FEEFAFC5"/>
    <w:rsid w:val="FEFFF2BB"/>
    <w:rsid w:val="FF2E5EDC"/>
    <w:rsid w:val="FF33F182"/>
    <w:rsid w:val="FF3BAB5C"/>
    <w:rsid w:val="FF3C4A65"/>
    <w:rsid w:val="FF4F15A5"/>
    <w:rsid w:val="FF5A4D8E"/>
    <w:rsid w:val="FF72F3AB"/>
    <w:rsid w:val="FF7B070A"/>
    <w:rsid w:val="FF7DFEFA"/>
    <w:rsid w:val="FFAB2EAD"/>
    <w:rsid w:val="FFAD5FF9"/>
    <w:rsid w:val="FFAFB4CE"/>
    <w:rsid w:val="FFBB8BBB"/>
    <w:rsid w:val="FFBBB338"/>
    <w:rsid w:val="FFBEFA0A"/>
    <w:rsid w:val="FFCB31D8"/>
    <w:rsid w:val="FFDE6986"/>
    <w:rsid w:val="FFE397B3"/>
    <w:rsid w:val="FFEF24B0"/>
    <w:rsid w:val="FFF544FA"/>
    <w:rsid w:val="FFFA49E8"/>
    <w:rsid w:val="FFFE3EA8"/>
    <w:rsid w:val="FFFEB7F9"/>
    <w:rsid w:val="FFFF30AE"/>
    <w:rsid w:val="FFFF6EED"/>
    <w:rsid w:val="FFFFF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qFormat="1" w:unhideWhenUsed="0" w:uiPriority="0"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0" w:semiHidden="0" w:name="Title"/>
    <w:lsdException w:unhideWhenUsed="0" w:uiPriority="99" w:semiHidden="0" w:name="Closing"/>
    <w:lsdException w:unhideWhenUsed="0" w:uiPriority="99" w:semiHidden="0" w:name="Signature"/>
    <w:lsdException w:qFormat="1" w:uiPriority="1" w:name="Default Paragraph Font"/>
    <w:lsdException w:qFormat="1"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0"/>
    <w:pPr>
      <w:keepLines/>
      <w:numPr>
        <w:ilvl w:val="0"/>
        <w:numId w:val="1"/>
      </w:numPr>
      <w:spacing w:before="340" w:after="330" w:line="576" w:lineRule="auto"/>
      <w:outlineLvl w:val="0"/>
    </w:pPr>
    <w:rPr>
      <w:rFonts w:cs="Tahoma"/>
      <w:b/>
      <w:bCs/>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index 5"/>
    <w:basedOn w:val="1"/>
    <w:next w:val="1"/>
    <w:qFormat/>
    <w:uiPriority w:val="0"/>
    <w:pPr>
      <w:ind w:left="1680"/>
    </w:pPr>
  </w:style>
  <w:style w:type="paragraph" w:styleId="4">
    <w:name w:val="Body Text"/>
    <w:basedOn w:val="1"/>
    <w:next w:val="3"/>
    <w:qFormat/>
    <w:uiPriority w:val="99"/>
    <w:pPr>
      <w:spacing w:after="120"/>
    </w:p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tabs>
        <w:tab w:val="center" w:pos="4153"/>
        <w:tab w:val="right" w:pos="8306"/>
      </w:tabs>
      <w:snapToGrid w:val="0"/>
      <w:jc w:val="center"/>
    </w:pPr>
    <w:rPr>
      <w:sz w:val="18"/>
      <w:szCs w:val="18"/>
    </w:rPr>
  </w:style>
  <w:style w:type="paragraph" w:styleId="7">
    <w:name w:val="Normal (Web)"/>
    <w:basedOn w:val="1"/>
    <w:unhideWhenUsed/>
    <w:qFormat/>
    <w:uiPriority w:val="0"/>
    <w:pPr>
      <w:spacing w:before="100" w:beforeAutospacing="1" w:after="100" w:afterAutospacing="1"/>
      <w:jc w:val="left"/>
    </w:pPr>
    <w:rPr>
      <w:rFonts w:ascii="Calibri" w:hAnsi="Calibri" w:eastAsia="宋体" w:cs="Times New Roman"/>
      <w:kern w:val="0"/>
      <w:sz w:val="24"/>
      <w:szCs w:val="24"/>
    </w:rPr>
  </w:style>
  <w:style w:type="paragraph" w:styleId="8">
    <w:name w:val="Title"/>
    <w:qFormat/>
    <w:uiPriority w:val="0"/>
    <w:pPr>
      <w:spacing w:line="720" w:lineRule="exact"/>
      <w:jc w:val="center"/>
      <w:outlineLvl w:val="0"/>
    </w:pPr>
    <w:rPr>
      <w:rFonts w:ascii="方正小标宋简体" w:hAnsi="方正小标宋简体" w:eastAsia="方正小标宋简体" w:cs="Times New Roman"/>
      <w:sz w:val="44"/>
      <w:szCs w:val="44"/>
    </w:rPr>
  </w:style>
  <w:style w:type="paragraph" w:customStyle="1" w:styleId="11">
    <w:name w:val="Body Text Indent 21"/>
    <w:qFormat/>
    <w:uiPriority w:val="0"/>
    <w:pPr>
      <w:widowControl w:val="0"/>
      <w:spacing w:line="480" w:lineRule="auto"/>
      <w:ind w:left="200" w:leftChars="200"/>
      <w:jc w:val="both"/>
    </w:pPr>
    <w:rPr>
      <w:rFonts w:ascii="Calibri" w:hAnsi="Calibri" w:eastAsia="宋体" w:cs="Arial"/>
      <w:kern w:val="2"/>
      <w:sz w:val="21"/>
      <w:szCs w:val="24"/>
      <w:lang w:val="en-US" w:eastAsia="zh-CN" w:bidi="ar-SA"/>
    </w:rPr>
  </w:style>
  <w:style w:type="character" w:customStyle="1" w:styleId="12">
    <w:name w:val="页眉 字符"/>
    <w:basedOn w:val="10"/>
    <w:link w:val="6"/>
    <w:qFormat/>
    <w:uiPriority w:val="0"/>
    <w:rPr>
      <w:kern w:val="2"/>
      <w:sz w:val="18"/>
      <w:szCs w:val="18"/>
    </w:rPr>
  </w:style>
  <w:style w:type="character" w:customStyle="1" w:styleId="13">
    <w:name w:val="页脚 字符"/>
    <w:basedOn w:val="10"/>
    <w:link w:val="5"/>
    <w:qFormat/>
    <w:uiPriority w:val="99"/>
    <w:rPr>
      <w:kern w:val="2"/>
      <w:sz w:val="18"/>
      <w:szCs w:val="18"/>
    </w:rPr>
  </w:style>
  <w:style w:type="paragraph" w:customStyle="1" w:styleId="14">
    <w:name w:val="UserStyle_2"/>
    <w:basedOn w:val="1"/>
    <w:qFormat/>
    <w:uiPriority w:val="0"/>
    <w:pPr>
      <w:ind w:left="840" w:hanging="420"/>
    </w:pPr>
    <w:rPr>
      <w:rFonts w:ascii="Calibri" w:hAnsi="Calibri" w:eastAsia="宋体" w:cs="Times New Roman"/>
      <w:sz w:val="24"/>
      <w:szCs w:val="30"/>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true">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4734</Words>
  <Characters>4744</Characters>
  <Lines>33</Lines>
  <Paragraphs>9</Paragraphs>
  <TotalTime>4</TotalTime>
  <ScaleCrop>false</ScaleCrop>
  <LinksUpToDate>false</LinksUpToDate>
  <CharactersWithSpaces>4775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2024-01-25T03:19:00Z</dcterms:created>
  <dc:creator>uos</dc:creator>
  <cp:lastModifiedBy>uos</cp:lastModifiedBy>
  <cp:lastPrinted>2025-09-24T08:49:00Z</cp:lastPrinted>
  <dcterms:modified xsi:type="dcterms:W3CDTF">2025-12-12T09:07:14Z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597D9AE9D68E4AEC954070D9DFDBC056_13</vt:lpwstr>
  </property>
  <property fmtid="{D5CDD505-2E9C-101B-9397-08002B2CF9AE}" pid="4" name="KSOTemplateDocerSaveRecord">
    <vt:lpwstr>eyJoZGlkIjoiZmQ1ODAyMGJjZGZjMzIxMzQ2YTk5NzZlNGQ1MTlmNzEiLCJ1c2VySWQiOiI3MDE4OTUyNTAifQ==</vt:lpwstr>
  </property>
</Properties>
</file>