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陕西省矿山地质环境治理恢复与土地复垦</w:t>
      </w:r>
    </w:p>
    <w:p>
      <w:pPr>
        <w:spacing w:afterLines="50" w:line="460" w:lineRule="exact"/>
        <w:jc w:val="center"/>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rPr>
        <w:t>基金实施办法</w:t>
      </w:r>
      <w:r>
        <w:rPr>
          <w:rFonts w:hint="eastAsia" w:ascii="华文中宋" w:hAnsi="华文中宋" w:eastAsia="华文中宋" w:cs="华文中宋"/>
          <w:sz w:val="44"/>
          <w:szCs w:val="44"/>
          <w:lang w:eastAsia="zh-CN"/>
        </w:rPr>
        <w:t>（</w:t>
      </w:r>
      <w:r>
        <w:rPr>
          <w:rFonts w:hint="eastAsia" w:ascii="华文中宋" w:hAnsi="华文中宋" w:eastAsia="华文中宋" w:cs="华文中宋"/>
          <w:sz w:val="44"/>
          <w:szCs w:val="44"/>
          <w:lang w:val="en-US" w:eastAsia="zh-CN"/>
        </w:rPr>
        <w:t>公开征求意见稿</w:t>
      </w:r>
      <w:r>
        <w:rPr>
          <w:rFonts w:hint="eastAsia" w:ascii="华文中宋" w:hAnsi="华文中宋" w:eastAsia="华文中宋" w:cs="华文中宋"/>
          <w:sz w:val="44"/>
          <w:szCs w:val="44"/>
          <w:lang w:eastAsia="zh-CN"/>
        </w:rPr>
        <w:t>）</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hint="eastAsia" w:ascii="Times New Roman" w:hAnsi="黑体" w:eastAsia="黑体" w:cs="Times New Roman"/>
          <w:b w:val="0"/>
          <w:sz w:val="32"/>
          <w:szCs w:val="32"/>
        </w:rPr>
      </w:pPr>
      <w:bookmarkStart w:id="0" w:name="_Toc482136636"/>
      <w:r>
        <w:rPr>
          <w:rFonts w:hint="eastAsia" w:ascii="Times New Roman" w:hAnsi="黑体" w:eastAsia="黑体" w:cs="Times New Roman"/>
          <w:b w:val="0"/>
          <w:sz w:val="32"/>
          <w:szCs w:val="32"/>
        </w:rPr>
        <w:t>第一章  总则</w:t>
      </w:r>
      <w:bookmarkEnd w:id="0"/>
    </w:p>
    <w:p>
      <w:pPr>
        <w:snapToGrid w:val="0"/>
        <w:spacing w:line="580" w:lineRule="exact"/>
        <w:ind w:firstLine="636" w:firstLineChars="198"/>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b/>
          <w:kern w:val="0"/>
          <w:sz w:val="32"/>
          <w:szCs w:val="32"/>
        </w:rPr>
        <w:t xml:space="preserve">第一条 </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为了</w:t>
      </w:r>
      <w:r>
        <w:rPr>
          <w:rFonts w:ascii="Times New Roman" w:hAnsi="Times New Roman" w:eastAsia="仿宋_GB2312" w:cs="Times New Roman"/>
          <w:color w:val="000000" w:themeColor="text1"/>
          <w:kern w:val="0"/>
          <w:sz w:val="32"/>
          <w:szCs w:val="32"/>
          <w14:textFill>
            <w14:solidFill>
              <w14:schemeClr w14:val="tx1"/>
            </w14:solidFill>
          </w14:textFill>
        </w:rPr>
        <w:t>规范矿山地质环境治理恢复与土地复垦基金</w:t>
      </w:r>
      <w:r>
        <w:rPr>
          <w:rFonts w:ascii="Times New Roman" w:hAnsi="Times New Roman" w:eastAsia="仿宋_GB2312" w:cs="Times New Roman"/>
          <w:color w:val="auto"/>
          <w:kern w:val="0"/>
          <w:sz w:val="32"/>
          <w:szCs w:val="32"/>
        </w:rPr>
        <w:t>（以下简称基金）</w:t>
      </w:r>
      <w:r>
        <w:rPr>
          <w:rFonts w:ascii="Times New Roman" w:hAnsi="Times New Roman" w:eastAsia="仿宋_GB2312" w:cs="Times New Roman"/>
          <w:color w:val="000000" w:themeColor="text1"/>
          <w:kern w:val="0"/>
          <w:sz w:val="32"/>
          <w:szCs w:val="32"/>
          <w14:textFill>
            <w14:solidFill>
              <w14:schemeClr w14:val="tx1"/>
            </w14:solidFill>
          </w14:textFill>
        </w:rPr>
        <w:t>提取、使用和</w:t>
      </w:r>
      <w:r>
        <w:rPr>
          <w:rFonts w:hint="eastAsia" w:ascii="Times New Roman" w:hAnsi="Times New Roman" w:eastAsia="仿宋_GB2312" w:cs="Times New Roman"/>
          <w:color w:val="000000" w:themeColor="text1"/>
          <w:kern w:val="0"/>
          <w:sz w:val="32"/>
          <w:szCs w:val="32"/>
          <w14:textFill>
            <w14:solidFill>
              <w14:schemeClr w14:val="tx1"/>
            </w14:solidFill>
          </w14:textFill>
        </w:rPr>
        <w:t>监管</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落实</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矿山企业</w:t>
      </w:r>
      <w:r>
        <w:rPr>
          <w:rFonts w:hint="eastAsia" w:ascii="Times New Roman" w:hAnsi="Times New Roman" w:eastAsia="仿宋_GB2312" w:cs="Times New Roman"/>
          <w:color w:val="000000" w:themeColor="text1"/>
          <w:kern w:val="0"/>
          <w:sz w:val="32"/>
          <w:szCs w:val="32"/>
          <w14:textFill>
            <w14:solidFill>
              <w14:schemeClr w14:val="tx1"/>
            </w14:solidFill>
          </w14:textFill>
        </w:rPr>
        <w:t>矿山地质</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环境</w:t>
      </w:r>
      <w:r>
        <w:rPr>
          <w:rFonts w:hint="eastAsia" w:ascii="Times New Roman" w:hAnsi="Times New Roman" w:eastAsia="仿宋_GB2312" w:cs="Times New Roman"/>
          <w:color w:val="000000" w:themeColor="text1"/>
          <w:kern w:val="0"/>
          <w:sz w:val="32"/>
          <w:szCs w:val="32"/>
          <w14:textFill>
            <w14:solidFill>
              <w14:schemeClr w14:val="tx1"/>
            </w14:solidFill>
          </w14:textFill>
        </w:rPr>
        <w:t>治理恢复</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与土地复垦</w:t>
      </w:r>
      <w:r>
        <w:rPr>
          <w:rFonts w:hint="eastAsia" w:ascii="Times New Roman" w:hAnsi="Times New Roman" w:eastAsia="仿宋_GB2312" w:cs="Times New Roman"/>
          <w:color w:val="000000" w:themeColor="text1"/>
          <w:kern w:val="0"/>
          <w:sz w:val="32"/>
          <w:szCs w:val="32"/>
          <w14:textFill>
            <w14:solidFill>
              <w14:schemeClr w14:val="tx1"/>
            </w14:solidFill>
          </w14:textFill>
        </w:rPr>
        <w:t>责任</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结合陕西省实际，制定本</w:t>
      </w:r>
      <w:r>
        <w:rPr>
          <w:rFonts w:hint="eastAsia" w:ascii="Times New Roman" w:hAnsi="Times New Roman" w:eastAsia="仿宋_GB2312" w:cs="Times New Roman"/>
          <w:color w:val="000000" w:themeColor="text1"/>
          <w:kern w:val="0"/>
          <w:sz w:val="32"/>
          <w:szCs w:val="32"/>
          <w14:textFill>
            <w14:solidFill>
              <w14:schemeClr w14:val="tx1"/>
            </w14:solidFill>
          </w14:textFill>
        </w:rPr>
        <w:t>办法</w:t>
      </w:r>
      <w:r>
        <w:rPr>
          <w:rFonts w:ascii="Times New Roman" w:hAnsi="Times New Roman" w:eastAsia="仿宋_GB2312" w:cs="Times New Roman"/>
          <w:color w:val="000000" w:themeColor="text1"/>
          <w:kern w:val="0"/>
          <w:sz w:val="32"/>
          <w:szCs w:val="32"/>
          <w14:textFill>
            <w14:solidFill>
              <w14:schemeClr w14:val="tx1"/>
            </w14:solidFill>
          </w14:textFill>
        </w:rPr>
        <w:t>。</w:t>
      </w:r>
    </w:p>
    <w:p>
      <w:pPr>
        <w:snapToGrid w:val="0"/>
        <w:spacing w:line="580" w:lineRule="exact"/>
        <w:ind w:firstLine="636" w:firstLineChars="198"/>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lang w:val="en-US" w:eastAsia="zh-CN"/>
          <w14:textFill>
            <w14:solidFill>
              <w14:schemeClr w14:val="tx1"/>
            </w14:solidFill>
          </w14:textFill>
        </w:rPr>
        <w:t>第二条</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本办法依据《中华人民共和国土地管理法》《中华人民共和国矿产资源法》《中华人民共和国环境保护法》《中华人民共和国黄河保护法》《土地复垦条例》《土地复垦条例实施办法》《矿山地质环境保护规定》《陕西省秦岭生态环境保护条例》，陕西省实施《中华人民共和国土地管理法》办法，国务院《关于印发矿产资源权益金制度改革方案的通知》（国发〔2017〕29号</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国务院办公厅《关于鼓励和支持社会资本参与生态保护修复的意见》（国办发〔2021〕40号）</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，生态环境部</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等</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《生态环境损害赔偿管理规定》（环法规〔2022〕31号）</w:t>
      </w:r>
      <w:r>
        <w:rPr>
          <w:rFonts w:hint="eastAsia" w:ascii="Times New Roman" w:hAnsi="Times New Roman" w:eastAsia="仿宋_GB2312" w:cs="Times New Roman"/>
          <w:strike w:val="0"/>
          <w:dstrike w:val="0"/>
          <w:color w:val="000000" w:themeColor="text1"/>
          <w:kern w:val="0"/>
          <w:sz w:val="32"/>
          <w:szCs w:val="32"/>
          <w:lang w:eastAsia="zh-CN"/>
          <w14:textFill>
            <w14:solidFill>
              <w14:schemeClr w14:val="tx1"/>
            </w14:solidFill>
          </w14:textFill>
        </w:rPr>
        <w:t>，</w:t>
      </w:r>
      <w:r>
        <w:rPr>
          <w:rFonts w:ascii="Times New Roman" w:hAnsi="Times New Roman" w:eastAsia="仿宋_GB2312" w:cs="Times New Roman"/>
          <w:strike w:val="0"/>
          <w:dstrike w:val="0"/>
          <w:color w:val="000000" w:themeColor="text1"/>
          <w:sz w:val="32"/>
          <w:szCs w:val="32"/>
          <w14:textFill>
            <w14:solidFill>
              <w14:schemeClr w14:val="tx1"/>
            </w14:solidFill>
          </w14:textFill>
        </w:rPr>
        <w:t>财政部</w:t>
      </w:r>
      <w:r>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等</w:t>
      </w:r>
      <w:r>
        <w:rPr>
          <w:rFonts w:ascii="Times New Roman" w:hAnsi="Times New Roman" w:eastAsia="仿宋_GB2312" w:cs="Times New Roman"/>
          <w:strike w:val="0"/>
          <w:dstrike w:val="0"/>
          <w:color w:val="000000" w:themeColor="text1"/>
          <w:sz w:val="32"/>
          <w:szCs w:val="32"/>
          <w14:textFill>
            <w14:solidFill>
              <w14:schemeClr w14:val="tx1"/>
            </w14:solidFill>
          </w14:textFill>
        </w:rPr>
        <w:t>《关于取消矿山地质环境治理恢复保证金建立矿山环境治理恢复基金的指导意见》</w:t>
      </w:r>
      <w:r>
        <w:rPr>
          <w:rFonts w:ascii="Times New Roman" w:hAnsi="Times New Roman" w:eastAsia="仿宋_GB2312" w:cs="Times New Roman"/>
          <w:strike w:val="0"/>
          <w:dstrike w:val="0"/>
          <w:color w:val="000000" w:themeColor="text1"/>
          <w:kern w:val="0"/>
          <w:sz w:val="32"/>
          <w:szCs w:val="32"/>
          <w14:textFill>
            <w14:solidFill>
              <w14:schemeClr w14:val="tx1"/>
            </w14:solidFill>
          </w14:textFill>
        </w:rPr>
        <w:t>（</w:t>
      </w:r>
      <w:r>
        <w:rPr>
          <w:rFonts w:ascii="Times New Roman" w:hAnsi="Times New Roman" w:eastAsia="仿宋_GB2312" w:cs="Times New Roman"/>
          <w:strike w:val="0"/>
          <w:dstrike w:val="0"/>
          <w:color w:val="000000" w:themeColor="text1"/>
          <w:sz w:val="32"/>
          <w:szCs w:val="32"/>
          <w14:textFill>
            <w14:solidFill>
              <w14:schemeClr w14:val="tx1"/>
            </w14:solidFill>
          </w14:textFill>
        </w:rPr>
        <w:t>财</w:t>
      </w:r>
      <w:r>
        <w:rPr>
          <w:rFonts w:ascii="Times New Roman" w:hAnsi="Times New Roman" w:eastAsia="仿宋_GB2312" w:cs="Times New Roman"/>
          <w:strike w:val="0"/>
          <w:dstrike w:val="0"/>
          <w:color w:val="000000" w:themeColor="text1"/>
          <w:kern w:val="0"/>
          <w:sz w:val="32"/>
          <w:szCs w:val="32"/>
          <w14:textFill>
            <w14:solidFill>
              <w14:schemeClr w14:val="tx1"/>
            </w14:solidFill>
          </w14:textFill>
        </w:rPr>
        <w:t>建〔2017〕638号）</w:t>
      </w:r>
      <w:r>
        <w:rPr>
          <w:rFonts w:hint="eastAsia" w:ascii="仿宋_GB2312" w:eastAsia="仿宋_GB2312" w:cs="仿宋_GB2312"/>
          <w:kern w:val="0"/>
          <w:sz w:val="32"/>
          <w:szCs w:val="32"/>
          <w:lang w:val="en-US" w:eastAsia="zh-CN"/>
        </w:rPr>
        <w:t>等法规和政策性文件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三</w:t>
      </w:r>
      <w:r>
        <w:rPr>
          <w:rFonts w:ascii="Times New Roman" w:hAnsi="Times New Roman" w:eastAsia="仿宋_GB2312" w:cs="Times New Roman"/>
          <w:b/>
          <w:kern w:val="0"/>
          <w:sz w:val="32"/>
          <w:szCs w:val="32"/>
        </w:rPr>
        <w:t xml:space="preserve">条 </w:t>
      </w:r>
      <w:r>
        <w:rPr>
          <w:rFonts w:ascii="Times New Roman" w:hAnsi="Times New Roman" w:eastAsia="仿宋_GB2312" w:cs="Times New Roman"/>
          <w:kern w:val="0"/>
          <w:sz w:val="32"/>
          <w:szCs w:val="32"/>
        </w:rPr>
        <w:t>本办法适用于陕西省行政范围内</w:t>
      </w:r>
      <w:r>
        <w:rPr>
          <w:rFonts w:ascii="Times New Roman" w:hAnsi="Times New Roman" w:eastAsia="仿宋_GB2312" w:cs="Times New Roman"/>
          <w:color w:val="auto"/>
          <w:kern w:val="0"/>
          <w:sz w:val="32"/>
          <w:szCs w:val="32"/>
        </w:rPr>
        <w:t>有责任</w:t>
      </w:r>
      <w:r>
        <w:rPr>
          <w:rFonts w:hint="eastAsia" w:ascii="Times New Roman" w:hAnsi="Times New Roman" w:eastAsia="仿宋_GB2312" w:cs="Times New Roman"/>
          <w:color w:val="auto"/>
          <w:kern w:val="0"/>
          <w:sz w:val="32"/>
          <w:szCs w:val="32"/>
        </w:rPr>
        <w:t>主体</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矿山。</w:t>
      </w:r>
    </w:p>
    <w:p>
      <w:pPr>
        <w:snapToGrid w:val="0"/>
        <w:spacing w:line="580" w:lineRule="exact"/>
        <w:ind w:firstLine="643" w:firstLineChars="200"/>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四</w:t>
      </w:r>
      <w:r>
        <w:rPr>
          <w:rFonts w:ascii="Times New Roman" w:hAnsi="Times New Roman" w:eastAsia="仿宋_GB2312" w:cs="Times New Roman"/>
          <w:b/>
          <w:kern w:val="0"/>
          <w:sz w:val="32"/>
          <w:szCs w:val="32"/>
        </w:rPr>
        <w:t xml:space="preserve">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矿山企业是矿山地质环境治理恢复与土地复垦的责任主体。</w:t>
      </w:r>
      <w:r>
        <w:rPr>
          <w:rFonts w:ascii="Times New Roman" w:hAnsi="Times New Roman" w:eastAsia="仿宋_GB2312" w:cs="Times New Roman"/>
          <w:strike w:val="0"/>
          <w:dstrike w:val="0"/>
          <w:color w:val="000000" w:themeColor="text1"/>
          <w:sz w:val="32"/>
          <w:szCs w:val="32"/>
          <w14:textFill>
            <w14:solidFill>
              <w14:schemeClr w14:val="tx1"/>
            </w14:solidFill>
          </w14:textFill>
        </w:rPr>
        <w:t>基金</w:t>
      </w:r>
      <w:r>
        <w:rPr>
          <w:rFonts w:hint="eastAsia" w:ascii="Times New Roman" w:hAnsi="Times New Roman" w:eastAsia="仿宋_GB2312" w:cs="Times New Roman"/>
          <w:strike w:val="0"/>
          <w:dstrike w:val="0"/>
          <w:color w:val="auto"/>
          <w:kern w:val="0"/>
          <w:sz w:val="32"/>
          <w:szCs w:val="32"/>
        </w:rPr>
        <w:t>是</w:t>
      </w:r>
      <w:r>
        <w:rPr>
          <w:rFonts w:hint="eastAsia" w:ascii="Times New Roman" w:hAnsi="Times New Roman" w:eastAsia="仿宋_GB2312" w:cs="Times New Roman"/>
          <w:color w:val="auto"/>
          <w:kern w:val="0"/>
          <w:sz w:val="32"/>
          <w:szCs w:val="32"/>
          <w:lang w:eastAsia="zh-CN"/>
        </w:rPr>
        <w:t>矿山企业</w:t>
      </w:r>
      <w:r>
        <w:rPr>
          <w:rFonts w:hint="eastAsia" w:ascii="Times New Roman" w:hAnsi="Times New Roman" w:eastAsia="仿宋_GB2312" w:cs="Times New Roman"/>
          <w:strike w:val="0"/>
          <w:dstrike w:val="0"/>
          <w:color w:val="auto"/>
          <w:kern w:val="0"/>
          <w:sz w:val="32"/>
          <w:szCs w:val="32"/>
          <w:lang w:val="en-US" w:eastAsia="zh-CN"/>
        </w:rPr>
        <w:t>为了落实</w:t>
      </w:r>
      <w:r>
        <w:rPr>
          <w:rFonts w:hint="eastAsia" w:ascii="Times New Roman" w:hAnsi="Times New Roman" w:eastAsia="仿宋_GB2312" w:cs="Times New Roman"/>
          <w:strike w:val="0"/>
          <w:dstrike w:val="0"/>
          <w:color w:val="auto"/>
          <w:kern w:val="0"/>
          <w:sz w:val="32"/>
          <w:szCs w:val="32"/>
        </w:rPr>
        <w:t>矿山地质环境</w:t>
      </w:r>
      <w:r>
        <w:rPr>
          <w:rFonts w:hint="eastAsia" w:ascii="Times New Roman" w:hAnsi="Times New Roman" w:eastAsia="仿宋_GB2312" w:cs="Times New Roman"/>
          <w:strike w:val="0"/>
          <w:dstrike w:val="0"/>
          <w:color w:val="auto"/>
          <w:kern w:val="0"/>
          <w:sz w:val="32"/>
          <w:szCs w:val="32"/>
          <w:lang w:val="en-US" w:eastAsia="zh-CN"/>
        </w:rPr>
        <w:t>治理恢复</w:t>
      </w:r>
      <w:r>
        <w:rPr>
          <w:rFonts w:hint="eastAsia" w:ascii="Times New Roman" w:hAnsi="Times New Roman" w:eastAsia="仿宋_GB2312" w:cs="Times New Roman"/>
          <w:strike w:val="0"/>
          <w:dstrike w:val="0"/>
          <w:color w:val="auto"/>
          <w:kern w:val="0"/>
          <w:sz w:val="32"/>
          <w:szCs w:val="32"/>
        </w:rPr>
        <w:t>与土地复垦</w:t>
      </w:r>
      <w:r>
        <w:rPr>
          <w:rFonts w:hint="eastAsia" w:ascii="Times New Roman" w:hAnsi="Times New Roman" w:eastAsia="仿宋_GB2312" w:cs="Times New Roman"/>
          <w:strike w:val="0"/>
          <w:dstrike w:val="0"/>
          <w:color w:val="auto"/>
          <w:kern w:val="0"/>
          <w:sz w:val="32"/>
          <w:szCs w:val="32"/>
          <w:lang w:val="en-US" w:eastAsia="zh-CN"/>
        </w:rPr>
        <w:t>等任务预计的弃置费用</w:t>
      </w:r>
      <w:r>
        <w:rPr>
          <w:rFonts w:hint="eastAsia" w:ascii="Times New Roman" w:hAnsi="Times New Roman" w:eastAsia="仿宋_GB2312" w:cs="Times New Roman"/>
          <w:color w:val="auto"/>
          <w:kern w:val="0"/>
          <w:sz w:val="32"/>
          <w:szCs w:val="32"/>
          <w:lang w:val="en-US" w:eastAsia="zh-CN"/>
        </w:rPr>
        <w:t>。</w:t>
      </w:r>
    </w:p>
    <w:p>
      <w:pPr>
        <w:snapToGrid w:val="0"/>
        <w:spacing w:line="580" w:lineRule="exact"/>
        <w:ind w:firstLine="643" w:firstLineChars="200"/>
        <w:contextualSpacing/>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val="en-US" w:eastAsia="zh-CN"/>
        </w:rPr>
        <w:t>五</w:t>
      </w:r>
      <w:r>
        <w:rPr>
          <w:rFonts w:ascii="Times New Roman" w:hAnsi="Times New Roman" w:eastAsia="仿宋_GB2312" w:cs="Times New Roman"/>
          <w:b/>
          <w:sz w:val="32"/>
          <w:szCs w:val="32"/>
        </w:rPr>
        <w:t>条</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基金账户原则上应当按采矿权单独设立，矿山企业应当在取得采矿许可证后 1 个月内在矿山所在县（市、区）的银行开设基金账户。矿山企业应当单独设置矿山地质环境治理恢复与土地复垦基金科目，反映基金的提取与使用情况。已提取基金的矿山企业不再单独缴存土地复垦费。</w:t>
      </w:r>
    </w:p>
    <w:p>
      <w:pPr>
        <w:snapToGrid w:val="0"/>
        <w:spacing w:line="580" w:lineRule="exact"/>
        <w:ind w:firstLine="640" w:firstLineChars="200"/>
        <w:contextualSpacing/>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油、气（煤层气）矿山可以在所在市的银行开设基金账户。</w:t>
      </w:r>
    </w:p>
    <w:p>
      <w:pPr>
        <w:snapToGrid w:val="0"/>
        <w:spacing w:line="580" w:lineRule="exact"/>
        <w:ind w:firstLine="643" w:firstLineChars="200"/>
        <w:contextualSpacing/>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strike w:val="0"/>
          <w:dstrike w:val="0"/>
          <w:kern w:val="0"/>
          <w:sz w:val="32"/>
          <w:szCs w:val="32"/>
          <w:lang w:val="en-US" w:eastAsia="zh-CN"/>
        </w:rPr>
        <w:t>六</w:t>
      </w:r>
      <w:r>
        <w:rPr>
          <w:rFonts w:ascii="Times New Roman" w:hAnsi="Times New Roman" w:eastAsia="仿宋_GB2312" w:cs="Times New Roman"/>
          <w:b/>
          <w:kern w:val="0"/>
          <w:sz w:val="32"/>
          <w:szCs w:val="32"/>
        </w:rPr>
        <w:t xml:space="preserve">条 </w:t>
      </w:r>
      <w:r>
        <w:rPr>
          <w:rFonts w:ascii="Times New Roman" w:hAnsi="Times New Roman" w:eastAsia="仿宋_GB2312" w:cs="Times New Roman"/>
          <w:kern w:val="0"/>
          <w:sz w:val="32"/>
          <w:szCs w:val="32"/>
        </w:rPr>
        <w:t>基金按照“企业</w:t>
      </w:r>
      <w:r>
        <w:rPr>
          <w:rFonts w:hint="eastAsia" w:ascii="Times New Roman" w:hAnsi="Times New Roman" w:eastAsia="仿宋_GB2312" w:cs="Times New Roman"/>
          <w:kern w:val="0"/>
          <w:sz w:val="32"/>
          <w:szCs w:val="32"/>
          <w:lang w:val="en-US" w:eastAsia="zh-CN"/>
        </w:rPr>
        <w:t>所有</w:t>
      </w:r>
      <w:r>
        <w:rPr>
          <w:rFonts w:ascii="Times New Roman" w:hAnsi="Times New Roman" w:eastAsia="仿宋_GB2312" w:cs="Times New Roman"/>
          <w:kern w:val="0"/>
          <w:sz w:val="32"/>
          <w:szCs w:val="32"/>
        </w:rPr>
        <w:t>、政府监管、确保需要、规范使用”的原则进行管理。</w:t>
      </w:r>
    </w:p>
    <w:p>
      <w:pPr>
        <w:spacing w:line="580" w:lineRule="exact"/>
        <w:ind w:firstLine="643"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strike w:val="0"/>
          <w:dstrike w:val="0"/>
          <w:kern w:val="0"/>
          <w:sz w:val="32"/>
          <w:szCs w:val="32"/>
        </w:rPr>
        <w:t>七</w:t>
      </w:r>
      <w:r>
        <w:rPr>
          <w:rFonts w:ascii="Times New Roman" w:hAnsi="Times New Roman" w:eastAsia="仿宋_GB2312" w:cs="Times New Roman"/>
          <w:b/>
          <w:kern w:val="0"/>
          <w:sz w:val="32"/>
          <w:szCs w:val="32"/>
        </w:rPr>
        <w:t>条</w:t>
      </w:r>
      <w:r>
        <w:rPr>
          <w:rFonts w:hint="eastAsia" w:ascii="Times New Roman" w:hAnsi="Times New Roman" w:eastAsia="仿宋_GB2312" w:cs="Times New Roman"/>
          <w:b/>
          <w:kern w:val="0"/>
          <w:sz w:val="32"/>
          <w:szCs w:val="32"/>
        </w:rPr>
        <w:t xml:space="preserve"> </w:t>
      </w:r>
      <w:r>
        <w:rPr>
          <w:rFonts w:hint="eastAsia" w:ascii="Times New Roman" w:hAnsi="Times New Roman" w:eastAsia="仿宋_GB2312" w:cs="Times New Roman"/>
          <w:kern w:val="0"/>
          <w:sz w:val="32"/>
          <w:szCs w:val="32"/>
        </w:rPr>
        <w:t>各级</w:t>
      </w:r>
      <w:r>
        <w:rPr>
          <w:rFonts w:hint="eastAsia" w:ascii="Times New Roman" w:hAnsi="Times New Roman" w:eastAsia="仿宋_GB2312" w:cs="Times New Roman"/>
          <w:kern w:val="0"/>
          <w:sz w:val="32"/>
          <w:szCs w:val="32"/>
          <w:lang w:val="en-US" w:eastAsia="zh-CN"/>
        </w:rPr>
        <w:t>自然</w:t>
      </w:r>
      <w:r>
        <w:rPr>
          <w:rFonts w:hint="eastAsia" w:ascii="Times New Roman" w:hAnsi="Times New Roman" w:eastAsia="仿宋_GB2312" w:cs="Times New Roman"/>
          <w:kern w:val="0"/>
          <w:sz w:val="32"/>
          <w:szCs w:val="32"/>
        </w:rPr>
        <w:t>资源、</w:t>
      </w:r>
      <w:r>
        <w:rPr>
          <w:rFonts w:hint="eastAsia" w:ascii="Times New Roman" w:hAnsi="Times New Roman" w:eastAsia="仿宋_GB2312" w:cs="Times New Roman"/>
          <w:kern w:val="0"/>
          <w:sz w:val="32"/>
          <w:szCs w:val="32"/>
          <w:lang w:val="en-US" w:eastAsia="zh-CN"/>
        </w:rPr>
        <w:t>财政、生态环境主管部门应当</w:t>
      </w:r>
      <w:r>
        <w:rPr>
          <w:rFonts w:hint="eastAsia" w:ascii="Times New Roman" w:hAnsi="Times New Roman" w:eastAsia="仿宋_GB2312" w:cs="Times New Roman"/>
          <w:kern w:val="0"/>
          <w:sz w:val="32"/>
          <w:szCs w:val="32"/>
        </w:rPr>
        <w:t>引导</w:t>
      </w:r>
      <w:r>
        <w:rPr>
          <w:rFonts w:hint="eastAsia" w:ascii="Times New Roman" w:hAnsi="Times New Roman" w:eastAsia="仿宋_GB2312" w:cs="Times New Roman"/>
          <w:kern w:val="0"/>
          <w:sz w:val="32"/>
          <w:szCs w:val="32"/>
          <w:lang w:val="en-US" w:eastAsia="zh-CN"/>
        </w:rPr>
        <w:t>矿山企业</w:t>
      </w:r>
      <w:r>
        <w:rPr>
          <w:rFonts w:hint="eastAsia" w:ascii="Times New Roman" w:hAnsi="Times New Roman" w:eastAsia="仿宋_GB2312" w:cs="Times New Roman"/>
          <w:kern w:val="0"/>
          <w:sz w:val="32"/>
          <w:szCs w:val="32"/>
        </w:rPr>
        <w:t>坚持“在保护中开发、在开发中保护”，“节约优先、保护优先、自然恢复为主”</w:t>
      </w:r>
      <w:r>
        <w:rPr>
          <w:rFonts w:hint="eastAsia" w:ascii="Times New Roman" w:hAnsi="Times New Roman" w:eastAsia="仿宋_GB2312" w:cs="Times New Roman"/>
          <w:kern w:val="0"/>
          <w:sz w:val="32"/>
          <w:szCs w:val="32"/>
          <w:lang w:val="en-US" w:eastAsia="zh-CN"/>
        </w:rPr>
        <w:t>的</w:t>
      </w:r>
      <w:r>
        <w:rPr>
          <w:rFonts w:hint="eastAsia" w:ascii="Times New Roman" w:hAnsi="Times New Roman" w:eastAsia="仿宋_GB2312" w:cs="Times New Roman"/>
          <w:kern w:val="0"/>
          <w:sz w:val="32"/>
          <w:szCs w:val="32"/>
        </w:rPr>
        <w:t>方针，统筹山水林田湖草</w:t>
      </w:r>
      <w:r>
        <w:rPr>
          <w:rFonts w:hint="eastAsia" w:ascii="Times New Roman" w:hAnsi="Times New Roman" w:eastAsia="仿宋_GB2312" w:cs="Times New Roman"/>
          <w:kern w:val="0"/>
          <w:sz w:val="32"/>
          <w:szCs w:val="32"/>
          <w:lang w:val="en-US" w:eastAsia="zh-CN"/>
        </w:rPr>
        <w:t>沙整体保护、</w:t>
      </w:r>
      <w:r>
        <w:rPr>
          <w:rFonts w:hint="eastAsia" w:ascii="Times New Roman" w:hAnsi="Times New Roman" w:eastAsia="仿宋_GB2312" w:cs="Times New Roman"/>
          <w:kern w:val="0"/>
          <w:sz w:val="32"/>
          <w:szCs w:val="32"/>
        </w:rPr>
        <w:t>系统</w:t>
      </w:r>
      <w:r>
        <w:rPr>
          <w:rFonts w:hint="eastAsia" w:ascii="Times New Roman" w:hAnsi="Times New Roman" w:eastAsia="仿宋_GB2312" w:cs="Times New Roman"/>
          <w:kern w:val="0"/>
          <w:sz w:val="32"/>
          <w:szCs w:val="32"/>
          <w:lang w:val="en-US" w:eastAsia="zh-CN"/>
        </w:rPr>
        <w:t>恢复</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综合治理</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促进生态文明建设</w:t>
      </w:r>
      <w:r>
        <w:rPr>
          <w:rFonts w:hint="eastAsia" w:ascii="Times New Roman" w:hAnsi="Times New Roman" w:eastAsia="仿宋_GB2312" w:cs="Times New Roman"/>
          <w:kern w:val="0"/>
          <w:sz w:val="32"/>
          <w:szCs w:val="32"/>
          <w:lang w:val="en-US" w:eastAsia="zh-CN"/>
        </w:rPr>
        <w:t>和经济社会高质量发展。</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ascii="Times New Roman" w:hAnsi="黑体" w:eastAsia="黑体" w:cs="Times New Roman"/>
          <w:b w:val="0"/>
          <w:sz w:val="32"/>
          <w:szCs w:val="32"/>
        </w:rPr>
      </w:pPr>
      <w:bookmarkStart w:id="1" w:name="_Toc482136637"/>
      <w:r>
        <w:rPr>
          <w:rFonts w:hint="eastAsia" w:ascii="Times New Roman" w:hAnsi="黑体" w:eastAsia="黑体" w:cs="Times New Roman"/>
          <w:b w:val="0"/>
          <w:sz w:val="32"/>
          <w:szCs w:val="32"/>
        </w:rPr>
        <w:t xml:space="preserve">第二章  </w:t>
      </w:r>
      <w:r>
        <w:rPr>
          <w:rFonts w:ascii="Times New Roman" w:hAnsi="黑体" w:eastAsia="黑体" w:cs="Times New Roman"/>
          <w:b w:val="0"/>
          <w:sz w:val="32"/>
          <w:szCs w:val="32"/>
        </w:rPr>
        <w:t>基金提取</w:t>
      </w:r>
      <w:bookmarkEnd w:id="1"/>
    </w:p>
    <w:p>
      <w:pPr>
        <w:spacing w:line="600" w:lineRule="exact"/>
        <w:ind w:firstLine="42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八</w:t>
      </w:r>
      <w:r>
        <w:rPr>
          <w:rFonts w:ascii="Times New Roman" w:hAnsi="Times New Roman" w:eastAsia="仿宋_GB2312" w:cs="Times New Roman"/>
          <w:b/>
          <w:kern w:val="0"/>
          <w:sz w:val="32"/>
          <w:szCs w:val="32"/>
        </w:rPr>
        <w:t xml:space="preserve">条 </w:t>
      </w:r>
      <w:r>
        <w:rPr>
          <w:rFonts w:hint="eastAsia" w:ascii="Times New Roman" w:hAnsi="Times New Roman" w:eastAsia="仿宋_GB2312" w:cs="Times New Roman"/>
          <w:kern w:val="0"/>
          <w:sz w:val="32"/>
          <w:szCs w:val="32"/>
          <w:lang w:val="en-US" w:eastAsia="zh-CN"/>
        </w:rPr>
        <w:t>矿山企业自获得矿产资源销售收入的当月起提取</w:t>
      </w:r>
      <w:r>
        <w:rPr>
          <w:rFonts w:hint="eastAsia" w:ascii="Times New Roman" w:hAnsi="Times New Roman" w:eastAsia="仿宋_GB2312" w:cs="Times New Roman"/>
          <w:kern w:val="0"/>
          <w:sz w:val="32"/>
          <w:szCs w:val="32"/>
          <w:lang w:eastAsia="zh-CN"/>
        </w:rPr>
        <w:t>基金。</w:t>
      </w:r>
      <w:r>
        <w:rPr>
          <w:rFonts w:hint="eastAsia" w:ascii="Times New Roman" w:hAnsi="Times New Roman" w:eastAsia="仿宋_GB2312" w:cs="Times New Roman"/>
          <w:kern w:val="0"/>
          <w:sz w:val="32"/>
          <w:szCs w:val="32"/>
          <w:lang w:val="en-US" w:eastAsia="zh-CN"/>
        </w:rPr>
        <w:t>矿山企业销售原矿的</w:t>
      </w:r>
      <w:r>
        <w:rPr>
          <w:rFonts w:hint="eastAsia" w:ascii="Times New Roman" w:hAnsi="Times New Roman" w:eastAsia="仿宋_GB2312" w:cs="Times New Roman"/>
          <w:color w:val="auto"/>
          <w:kern w:val="0"/>
          <w:sz w:val="32"/>
          <w:szCs w:val="32"/>
          <w:lang w:val="en-US" w:eastAsia="zh-CN"/>
        </w:rPr>
        <w:t>（含列入能源资源保供的矿山）</w:t>
      </w:r>
      <w:r>
        <w:rPr>
          <w:rFonts w:hint="eastAsia" w:ascii="Times New Roman" w:hAnsi="Times New Roman" w:eastAsia="仿宋_GB2312" w:cs="Times New Roman"/>
          <w:kern w:val="0"/>
          <w:sz w:val="32"/>
          <w:szCs w:val="32"/>
          <w:lang w:val="en-US" w:eastAsia="zh-CN"/>
        </w:rPr>
        <w:t>每月按照实际销售收入、开采矿种系数、开采方式系数、地区系数等核算提取基金。</w:t>
      </w:r>
    </w:p>
    <w:p>
      <w:pPr>
        <w:spacing w:line="600" w:lineRule="exact"/>
        <w:ind w:firstLine="420"/>
        <w:rPr>
          <w:rFonts w:hint="eastAsia" w:ascii="Times New Roman" w:hAnsi="Times New Roman" w:eastAsia="仿宋_GB2312" w:cs="Times New Roman"/>
          <w:color w:val="auto"/>
          <w:kern w:val="0"/>
          <w:sz w:val="32"/>
          <w:szCs w:val="32"/>
          <w:lang w:val="en-US" w:eastAsia="zh-CN"/>
        </w:rPr>
      </w:pPr>
      <w:bookmarkStart w:id="5" w:name="_GoBack"/>
      <w:bookmarkEnd w:id="5"/>
      <w:r>
        <w:rPr>
          <w:rFonts w:hint="eastAsia" w:ascii="Times New Roman" w:hAnsi="Times New Roman" w:eastAsia="仿宋_GB2312" w:cs="Times New Roman"/>
          <w:color w:val="auto"/>
          <w:kern w:val="0"/>
          <w:sz w:val="32"/>
          <w:szCs w:val="32"/>
          <w:lang w:val="en-US" w:eastAsia="zh-CN"/>
        </w:rPr>
        <w:t>矿山企业不直接销售原矿的或者销售价格明显低于市场价格的，销售单价参照本地区同期同类原矿单价核算销售收入。</w:t>
      </w:r>
    </w:p>
    <w:p>
      <w:pPr>
        <w:spacing w:line="600" w:lineRule="exact"/>
        <w:ind w:firstLine="42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其计算公式见附件</w:t>
      </w:r>
      <w:r>
        <w:rPr>
          <w:rFonts w:hint="eastAsia" w:ascii="Times New Roman" w:hAnsi="Times New Roman" w:eastAsia="仿宋_GB2312" w:cs="Times New Roman"/>
          <w:kern w:val="0"/>
          <w:sz w:val="32"/>
          <w:szCs w:val="32"/>
          <w:lang w:eastAsia="zh-CN"/>
        </w:rPr>
        <w:t>。</w:t>
      </w:r>
    </w:p>
    <w:p>
      <w:pPr>
        <w:spacing w:line="580" w:lineRule="exact"/>
        <w:ind w:firstLine="643"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kern w:val="0"/>
          <w:sz w:val="32"/>
          <w:szCs w:val="32"/>
          <w:lang w:val="en-US" w:eastAsia="zh-CN"/>
        </w:rPr>
        <w:t>第九条</w:t>
      </w:r>
      <w:r>
        <w:rPr>
          <w:rFonts w:hint="eastAsia" w:ascii="Times New Roman" w:hAnsi="Times New Roman" w:eastAsia="仿宋_GB2312" w:cs="Times New Roman"/>
          <w:bCs/>
          <w:color w:val="0000FF"/>
          <w:sz w:val="32"/>
          <w:szCs w:val="32"/>
          <w:lang w:val="en-US" w:eastAsia="zh-CN"/>
        </w:rPr>
        <w:t xml:space="preserve"> </w:t>
      </w:r>
      <w:r>
        <w:rPr>
          <w:rFonts w:hint="eastAsia" w:ascii="Times New Roman" w:hAnsi="Times New Roman" w:eastAsia="仿宋_GB2312" w:cs="Times New Roman"/>
          <w:kern w:val="0"/>
          <w:sz w:val="32"/>
          <w:szCs w:val="32"/>
          <w:lang w:val="en-US" w:eastAsia="zh-CN"/>
        </w:rPr>
        <w:t>在建矿山在建设期应当同步实施矿山地质安全隐患、地下水影响、地形地貌景观破坏、土地损毁等治理恢复与复垦工作，实施工程经核算认定的费用，可以在后期提取基金中支用。</w:t>
      </w:r>
    </w:p>
    <w:p>
      <w:pPr>
        <w:spacing w:line="580" w:lineRule="exact"/>
        <w:ind w:firstLine="643"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十</w:t>
      </w:r>
      <w:r>
        <w:rPr>
          <w:rFonts w:ascii="Times New Roman" w:hAnsi="Times New Roman" w:eastAsia="仿宋_GB2312" w:cs="Times New Roman"/>
          <w:b/>
          <w:kern w:val="0"/>
          <w:sz w:val="32"/>
          <w:szCs w:val="32"/>
        </w:rPr>
        <w:t>条</w:t>
      </w:r>
      <w:r>
        <w:rPr>
          <w:rFonts w:hint="eastAsia" w:ascii="Times New Roman" w:hAnsi="Times New Roman" w:eastAsia="仿宋_GB2312" w:cs="Times New Roman"/>
          <w:b/>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矿山企业在矿山剩余服务年限期满前，其基金账户中应预留有足额基金，以满足矿山闭坑后仍可能产生的矿山地质环境与土地损毁等问题与后期管护需要。</w:t>
      </w:r>
    </w:p>
    <w:p>
      <w:pPr>
        <w:spacing w:line="58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因政策性关闭等原因提前终止采矿活动的，矿山应编</w:t>
      </w:r>
      <w:r>
        <w:rPr>
          <w:rFonts w:hint="eastAsia" w:ascii="Times New Roman" w:hAnsi="Times New Roman" w:eastAsia="仿宋_GB2312" w:cs="Times New Roman"/>
          <w:strike w:val="0"/>
          <w:dstrike w:val="0"/>
          <w:kern w:val="0"/>
          <w:sz w:val="32"/>
          <w:szCs w:val="32"/>
          <w:lang w:val="en-US" w:eastAsia="zh-CN"/>
        </w:rPr>
        <w:t>制矿山地质环境治理方案，治理费用由原</w:t>
      </w:r>
      <w:r>
        <w:rPr>
          <w:rFonts w:hint="eastAsia" w:ascii="Times New Roman" w:hAnsi="Times New Roman" w:eastAsia="仿宋_GB2312" w:cs="Times New Roman"/>
          <w:kern w:val="0"/>
          <w:sz w:val="32"/>
          <w:szCs w:val="32"/>
          <w:lang w:val="en-US" w:eastAsia="zh-CN"/>
        </w:rPr>
        <w:t>矿山企业</w:t>
      </w:r>
      <w:r>
        <w:rPr>
          <w:rFonts w:hint="eastAsia" w:ascii="Times New Roman" w:hAnsi="Times New Roman" w:eastAsia="仿宋_GB2312" w:cs="Times New Roman"/>
          <w:strike w:val="0"/>
          <w:dstrike w:val="0"/>
          <w:kern w:val="0"/>
          <w:sz w:val="32"/>
          <w:szCs w:val="32"/>
          <w:lang w:val="en-US" w:eastAsia="zh-CN"/>
        </w:rPr>
        <w:t>从基金账户中列支，基金账户不足的差额部分由原</w:t>
      </w:r>
      <w:r>
        <w:rPr>
          <w:rFonts w:hint="eastAsia" w:ascii="Times New Roman" w:hAnsi="Times New Roman" w:eastAsia="仿宋_GB2312" w:cs="Times New Roman"/>
          <w:kern w:val="0"/>
          <w:sz w:val="32"/>
          <w:szCs w:val="32"/>
          <w:lang w:val="en-US" w:eastAsia="zh-CN"/>
        </w:rPr>
        <w:t>矿山企业</w:t>
      </w:r>
      <w:r>
        <w:rPr>
          <w:rFonts w:hint="eastAsia" w:ascii="Times New Roman" w:hAnsi="Times New Roman" w:eastAsia="仿宋_GB2312" w:cs="Times New Roman"/>
          <w:strike w:val="0"/>
          <w:dstrike w:val="0"/>
          <w:kern w:val="0"/>
          <w:sz w:val="32"/>
          <w:szCs w:val="32"/>
          <w:lang w:val="en-US" w:eastAsia="zh-CN"/>
        </w:rPr>
        <w:t>补足。</w:t>
      </w:r>
    </w:p>
    <w:p>
      <w:pPr>
        <w:spacing w:line="580" w:lineRule="exact"/>
        <w:ind w:firstLine="643"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十一</w:t>
      </w:r>
      <w:r>
        <w:rPr>
          <w:rFonts w:ascii="Times New Roman" w:hAnsi="Times New Roman" w:eastAsia="仿宋_GB2312" w:cs="Times New Roman"/>
          <w:b/>
          <w:bCs/>
          <w:sz w:val="32"/>
          <w:szCs w:val="32"/>
        </w:rPr>
        <w:t xml:space="preserve">条 </w:t>
      </w:r>
      <w:r>
        <w:rPr>
          <w:rFonts w:hint="eastAsia" w:ascii="Times New Roman" w:hAnsi="Times New Roman" w:eastAsia="仿宋_GB2312" w:cs="Times New Roman"/>
          <w:strike w:val="0"/>
          <w:dstrike w:val="0"/>
          <w:kern w:val="0"/>
          <w:sz w:val="32"/>
          <w:szCs w:val="32"/>
          <w:lang w:val="en-US" w:eastAsia="zh-CN"/>
        </w:rPr>
        <w:t>同一矿山露天开采、地下开采空间位置不重叠时，应当按照不同的开采系数分别提取基金；同一矿山开采两种以上矿产资源，按照不同矿种系数分别提取基金</w:t>
      </w:r>
      <w:r>
        <w:rPr>
          <w:rFonts w:hint="eastAsia" w:ascii="Times New Roman" w:hAnsi="Times New Roman" w:eastAsia="仿宋_GB2312" w:cs="Times New Roman"/>
          <w:kern w:val="0"/>
          <w:sz w:val="32"/>
          <w:szCs w:val="32"/>
          <w:lang w:val="en-US" w:eastAsia="zh-CN"/>
        </w:rPr>
        <w:t>。</w:t>
      </w:r>
    </w:p>
    <w:p>
      <w:pPr>
        <w:spacing w:line="58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第十</w:t>
      </w:r>
      <w:r>
        <w:rPr>
          <w:rFonts w:hint="eastAsia" w:ascii="Times New Roman" w:hAnsi="Times New Roman" w:eastAsia="仿宋_GB2312" w:cs="Times New Roman"/>
          <w:b/>
          <w:kern w:val="0"/>
          <w:sz w:val="32"/>
          <w:szCs w:val="32"/>
          <w:lang w:val="en-US" w:eastAsia="zh-CN"/>
        </w:rPr>
        <w:t>二</w:t>
      </w:r>
      <w:r>
        <w:rPr>
          <w:rFonts w:ascii="Times New Roman" w:hAnsi="Times New Roman" w:eastAsia="仿宋_GB2312" w:cs="Times New Roman"/>
          <w:b/>
          <w:kern w:val="0"/>
          <w:sz w:val="32"/>
          <w:szCs w:val="32"/>
        </w:rPr>
        <w:t xml:space="preserve">条 </w:t>
      </w:r>
      <w:r>
        <w:rPr>
          <w:rFonts w:hint="eastAsia" w:ascii="Times New Roman" w:hAnsi="Times New Roman" w:eastAsia="仿宋_GB2312" w:cs="Times New Roman"/>
          <w:kern w:val="0"/>
          <w:sz w:val="32"/>
          <w:szCs w:val="32"/>
          <w:lang w:eastAsia="zh-CN"/>
        </w:rPr>
        <w:t>矿山企业</w:t>
      </w:r>
      <w:r>
        <w:rPr>
          <w:rFonts w:ascii="Times New Roman" w:hAnsi="Times New Roman" w:eastAsia="仿宋_GB2312" w:cs="Times New Roman"/>
          <w:kern w:val="0"/>
          <w:sz w:val="32"/>
          <w:szCs w:val="32"/>
        </w:rPr>
        <w:t>变更开采矿种、开采方式、开采规模及开采范围的，应当按照变更后的主采矿种、开采方式、开采规模及开采范围重新</w:t>
      </w:r>
      <w:r>
        <w:rPr>
          <w:rFonts w:hint="eastAsia" w:ascii="Times New Roman" w:hAnsi="Times New Roman" w:eastAsia="仿宋_GB2312" w:cs="Times New Roman"/>
          <w:kern w:val="0"/>
          <w:sz w:val="32"/>
          <w:szCs w:val="32"/>
        </w:rPr>
        <w:t>编制《方案》</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核算并提取</w:t>
      </w:r>
      <w:r>
        <w:rPr>
          <w:rFonts w:ascii="Times New Roman" w:hAnsi="Times New Roman" w:eastAsia="仿宋_GB2312" w:cs="Times New Roman"/>
          <w:kern w:val="0"/>
          <w:sz w:val="32"/>
          <w:szCs w:val="32"/>
        </w:rPr>
        <w:t>基金。</w:t>
      </w:r>
    </w:p>
    <w:p>
      <w:pPr>
        <w:spacing w:line="580" w:lineRule="exact"/>
        <w:ind w:firstLine="643" w:firstLineChars="200"/>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b/>
          <w:kern w:val="0"/>
          <w:sz w:val="32"/>
          <w:szCs w:val="32"/>
        </w:rPr>
        <w:t>第十</w:t>
      </w:r>
      <w:r>
        <w:rPr>
          <w:rFonts w:hint="eastAsia" w:ascii="Times New Roman" w:hAnsi="Times New Roman" w:eastAsia="仿宋_GB2312" w:cs="Times New Roman"/>
          <w:b/>
          <w:kern w:val="0"/>
          <w:sz w:val="32"/>
          <w:szCs w:val="32"/>
          <w:lang w:val="en-US" w:eastAsia="zh-CN"/>
        </w:rPr>
        <w:t>三</w:t>
      </w:r>
      <w:r>
        <w:rPr>
          <w:rFonts w:ascii="Times New Roman" w:hAnsi="Times New Roman" w:eastAsia="仿宋_GB2312" w:cs="Times New Roman"/>
          <w:b/>
          <w:kern w:val="0"/>
          <w:sz w:val="32"/>
          <w:szCs w:val="32"/>
        </w:rPr>
        <w:t xml:space="preserve">条 </w:t>
      </w:r>
      <w:r>
        <w:rPr>
          <w:rFonts w:hint="eastAsia" w:ascii="Times New Roman" w:hAnsi="Times New Roman" w:eastAsia="仿宋_GB2312" w:cs="Times New Roman"/>
          <w:kern w:val="0"/>
          <w:sz w:val="32"/>
          <w:szCs w:val="32"/>
          <w:lang w:val="en-US" w:eastAsia="zh-CN"/>
        </w:rPr>
        <w:t>基金提取数额根据基金提取公式计算的结果和</w:t>
      </w:r>
      <w:r>
        <w:rPr>
          <w:rFonts w:hint="eastAsia" w:ascii="Times New Roman" w:hAnsi="Times New Roman" w:eastAsia="仿宋_GB2312" w:cs="Times New Roman"/>
          <w:kern w:val="0"/>
          <w:sz w:val="32"/>
          <w:szCs w:val="32"/>
        </w:rPr>
        <w:t>《方案》</w:t>
      </w:r>
      <w:r>
        <w:rPr>
          <w:rFonts w:ascii="Times New Roman" w:hAnsi="Times New Roman" w:eastAsia="仿宋_GB2312" w:cs="Times New Roman"/>
          <w:kern w:val="0"/>
          <w:sz w:val="32"/>
          <w:szCs w:val="32"/>
        </w:rPr>
        <w:t>估算费用</w:t>
      </w:r>
      <w:r>
        <w:rPr>
          <w:rFonts w:hint="eastAsia" w:ascii="Times New Roman" w:hAnsi="Times New Roman" w:eastAsia="仿宋_GB2312" w:cs="Times New Roman"/>
          <w:kern w:val="0"/>
          <w:sz w:val="32"/>
          <w:szCs w:val="32"/>
          <w:lang w:val="en-US" w:eastAsia="zh-CN"/>
        </w:rPr>
        <w:t>的结果，采取“就高”原则确定。</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hint="eastAsia" w:ascii="Times New Roman" w:hAnsi="黑体" w:eastAsia="黑体" w:cs="Times New Roman"/>
          <w:b w:val="0"/>
          <w:sz w:val="32"/>
          <w:szCs w:val="32"/>
          <w:lang w:val="en-US" w:eastAsia="zh-CN"/>
        </w:rPr>
      </w:pPr>
      <w:bookmarkStart w:id="2" w:name="_Toc482136638"/>
      <w:r>
        <w:rPr>
          <w:rFonts w:hint="eastAsia" w:ascii="Times New Roman" w:hAnsi="黑体" w:eastAsia="黑体" w:cs="Times New Roman"/>
          <w:b w:val="0"/>
          <w:sz w:val="32"/>
          <w:szCs w:val="32"/>
        </w:rPr>
        <w:t xml:space="preserve">第三章  </w:t>
      </w:r>
      <w:r>
        <w:rPr>
          <w:rFonts w:hint="eastAsia" w:ascii="Times New Roman" w:hAnsi="黑体" w:eastAsia="黑体" w:cs="Times New Roman"/>
          <w:b w:val="0"/>
          <w:sz w:val="32"/>
          <w:szCs w:val="32"/>
          <w:lang w:val="en-US" w:eastAsia="zh-CN"/>
        </w:rPr>
        <w:t>支出范围</w:t>
      </w:r>
    </w:p>
    <w:p>
      <w:pPr>
        <w:spacing w:line="580" w:lineRule="exact"/>
        <w:ind w:firstLine="643"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第十四条</w:t>
      </w:r>
      <w:r>
        <w:rPr>
          <w:rFonts w:hint="eastAsia" w:ascii="Times New Roman" w:hAnsi="Times New Roman" w:eastAsia="仿宋_GB2312" w:cs="Times New Roman"/>
          <w:kern w:val="0"/>
          <w:sz w:val="32"/>
          <w:szCs w:val="32"/>
          <w:lang w:val="en-US" w:eastAsia="zh-CN"/>
        </w:rPr>
        <w:t xml:space="preserve"> 基金使用应当符合《方案》中明确的矿山地质环境治理恢复与土地复垦等工程，主要用于采矿许可证范围及其矿山建设、采矿活动影响范围的矿山地质环境治理恢复与土地复垦。</w:t>
      </w:r>
    </w:p>
    <w:p>
      <w:pPr>
        <w:spacing w:line="580" w:lineRule="exact"/>
        <w:ind w:firstLine="643"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b/>
          <w:bCs/>
          <w:kern w:val="0"/>
          <w:sz w:val="32"/>
          <w:szCs w:val="32"/>
          <w:lang w:val="en-US" w:eastAsia="zh-CN"/>
        </w:rPr>
        <w:t>第十五条</w:t>
      </w:r>
      <w:r>
        <w:rPr>
          <w:rFonts w:hint="eastAsia" w:ascii="Times New Roman" w:hAnsi="Times New Roman" w:eastAsia="仿宋_GB2312" w:cs="Times New Roman"/>
          <w:strike w:val="0"/>
          <w:dstrike w:val="0"/>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kern w:val="0"/>
          <w:sz w:val="32"/>
          <w:szCs w:val="32"/>
          <w:lang w:val="en-US" w:eastAsia="zh-CN"/>
        </w:rPr>
        <w:t>支出</w:t>
      </w:r>
      <w:r>
        <w:rPr>
          <w:rFonts w:hint="eastAsia" w:ascii="Times New Roman" w:hAnsi="Times New Roman" w:eastAsia="仿宋_GB2312" w:cs="Times New Roman"/>
          <w:strike w:val="0"/>
          <w:dstrike w:val="0"/>
          <w:color w:val="000000" w:themeColor="text1"/>
          <w:kern w:val="0"/>
          <w:sz w:val="32"/>
          <w:szCs w:val="32"/>
          <w:lang w:val="en-US" w:eastAsia="zh-CN"/>
          <w14:textFill>
            <w14:solidFill>
              <w14:schemeClr w14:val="tx1"/>
            </w14:solidFill>
          </w14:textFill>
        </w:rPr>
        <w:t>范围</w:t>
      </w:r>
      <w:r>
        <w:rPr>
          <w:rFonts w:ascii="Times New Roman" w:hAnsi="Times New Roman" w:eastAsia="仿宋_GB2312" w:cs="Times New Roman"/>
          <w:color w:val="000000" w:themeColor="text1"/>
          <w:kern w:val="0"/>
          <w:sz w:val="32"/>
          <w:szCs w:val="32"/>
          <w14:textFill>
            <w14:solidFill>
              <w14:schemeClr w14:val="tx1"/>
            </w14:solidFill>
          </w14:textFill>
        </w:rPr>
        <w:t>：</w:t>
      </w:r>
    </w:p>
    <w:p>
      <w:pPr>
        <w:spacing w:line="58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000000" w:themeColor="text1"/>
          <w:kern w:val="0"/>
          <w:sz w:val="32"/>
          <w:szCs w:val="32"/>
          <w14:textFill>
            <w14:solidFill>
              <w14:schemeClr w14:val="tx1"/>
            </w14:solidFill>
          </w14:textFill>
        </w:rPr>
        <w:t>（一）</w:t>
      </w:r>
      <w:r>
        <w:rPr>
          <w:rFonts w:ascii="Times New Roman" w:hAnsi="Times New Roman" w:eastAsia="仿宋_GB2312" w:cs="Times New Roman"/>
          <w:color w:val="000000" w:themeColor="text1"/>
          <w:sz w:val="32"/>
          <w:szCs w:val="32"/>
          <w14:textFill>
            <w14:solidFill>
              <w14:schemeClr w14:val="tx1"/>
            </w14:solidFill>
          </w14:textFill>
        </w:rPr>
        <w:t>矿山崩塌、滑坡、泥石流、地面塌陷</w:t>
      </w:r>
      <w:r>
        <w:rPr>
          <w:rFonts w:hint="eastAsia" w:ascii="Times New Roman" w:hAnsi="Times New Roman" w:eastAsia="仿宋_GB2312" w:cs="Times New Roman"/>
          <w:color w:val="000000" w:themeColor="text1"/>
          <w:sz w:val="32"/>
          <w:szCs w:val="32"/>
          <w14:textFill>
            <w14:solidFill>
              <w14:schemeClr w14:val="tx1"/>
            </w14:solidFill>
          </w14:textFill>
        </w:rPr>
        <w:t>及</w:t>
      </w:r>
      <w:r>
        <w:rPr>
          <w:rFonts w:ascii="Times New Roman" w:hAnsi="Times New Roman" w:eastAsia="仿宋_GB2312" w:cs="Times New Roman"/>
          <w:color w:val="000000" w:themeColor="text1"/>
          <w:sz w:val="32"/>
          <w:szCs w:val="32"/>
          <w14:textFill>
            <w14:solidFill>
              <w14:schemeClr w14:val="tx1"/>
            </w14:solidFill>
          </w14:textFill>
        </w:rPr>
        <w:t>裂缝、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废弃矿硐等地质安全隐患及其影响范围内的综合治理；</w:t>
      </w:r>
      <w:r>
        <w:rPr>
          <w:rFonts w:hint="eastAsia" w:ascii="Times New Roman" w:hAnsi="Times New Roman" w:eastAsia="仿宋_GB2312" w:cs="Times New Roman"/>
          <w:color w:val="auto"/>
          <w:sz w:val="32"/>
          <w:szCs w:val="32"/>
          <w:lang w:val="en-US" w:eastAsia="zh-CN"/>
        </w:rPr>
        <w:t>因</w:t>
      </w:r>
      <w:r>
        <w:rPr>
          <w:rFonts w:hint="eastAsia" w:ascii="Times New Roman" w:hAnsi="Times New Roman" w:eastAsia="仿宋_GB2312" w:cs="Times New Roman"/>
          <w:strike w:val="0"/>
          <w:dstrike w:val="0"/>
          <w:color w:val="auto"/>
          <w:sz w:val="32"/>
          <w:szCs w:val="32"/>
          <w:highlight w:val="none"/>
          <w:lang w:val="en-US" w:eastAsia="zh-CN"/>
        </w:rPr>
        <w:t>采矿活动</w:t>
      </w:r>
      <w:r>
        <w:rPr>
          <w:rFonts w:hint="eastAsia" w:ascii="Times New Roman" w:hAnsi="Times New Roman" w:eastAsia="仿宋_GB2312" w:cs="Times New Roman"/>
          <w:strike w:val="0"/>
          <w:dstrike w:val="0"/>
          <w:color w:val="auto"/>
          <w:sz w:val="32"/>
          <w:szCs w:val="32"/>
          <w:lang w:val="en-US" w:eastAsia="zh-CN"/>
        </w:rPr>
        <w:t>造成的</w:t>
      </w:r>
      <w:r>
        <w:rPr>
          <w:rFonts w:hint="eastAsia" w:ascii="Times New Roman" w:hAnsi="Times New Roman" w:eastAsia="仿宋_GB2312" w:cs="Times New Roman"/>
          <w:color w:val="auto"/>
          <w:sz w:val="32"/>
          <w:szCs w:val="32"/>
          <w:lang w:val="en-US" w:eastAsia="zh-CN"/>
        </w:rPr>
        <w:t>构（建）筑物损毁的修复，废弃构（建）筑物拆除以及土地复垦。搬迁补偿费用不得使用基金；</w:t>
      </w:r>
    </w:p>
    <w:p>
      <w:pPr>
        <w:spacing w:line="58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（二）采矿场边坡、采矿坑、排土场、堆渣场、排矸场、</w:t>
      </w:r>
      <w:r>
        <w:rPr>
          <w:rFonts w:hint="eastAsia" w:ascii="Times New Roman" w:hAnsi="Times New Roman" w:eastAsia="仿宋_GB2312" w:cs="Times New Roman"/>
          <w:color w:val="auto"/>
          <w:sz w:val="32"/>
          <w:szCs w:val="32"/>
          <w:lang w:val="en-US" w:eastAsia="zh-CN"/>
        </w:rPr>
        <w:t>矿山道路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等矿山地形地貌治理及植被恢复、绿化工程等</w:t>
      </w:r>
      <w:r>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w:t>
      </w:r>
    </w:p>
    <w:p>
      <w:pPr>
        <w:spacing w:line="58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三</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strike w:val="0"/>
          <w:dstrike w:val="0"/>
          <w:color w:val="auto"/>
          <w:kern w:val="0"/>
          <w:sz w:val="32"/>
          <w:szCs w:val="32"/>
          <w:lang w:val="en-US" w:eastAsia="zh-CN"/>
        </w:rPr>
        <w:t>因</w:t>
      </w:r>
      <w:r>
        <w:rPr>
          <w:rFonts w:hint="eastAsia" w:ascii="Times New Roman" w:hAnsi="Times New Roman" w:eastAsia="仿宋_GB2312" w:cs="Times New Roman"/>
          <w:strike w:val="0"/>
          <w:dstrike w:val="0"/>
          <w:color w:val="auto"/>
          <w:sz w:val="32"/>
          <w:szCs w:val="32"/>
          <w:highlight w:val="none"/>
          <w:lang w:val="en-US" w:eastAsia="zh-CN"/>
        </w:rPr>
        <w:t>采矿活动</w:t>
      </w:r>
      <w:r>
        <w:rPr>
          <w:rFonts w:hint="eastAsia" w:ascii="Times New Roman" w:hAnsi="Times New Roman" w:eastAsia="仿宋_GB2312" w:cs="Times New Roman"/>
          <w:strike w:val="0"/>
          <w:dstrike w:val="0"/>
          <w:color w:val="auto"/>
          <w:sz w:val="32"/>
          <w:szCs w:val="32"/>
          <w:lang w:val="en-US" w:eastAsia="zh-CN"/>
        </w:rPr>
        <w:t>造成</w:t>
      </w:r>
      <w:r>
        <w:rPr>
          <w:rFonts w:hint="eastAsia" w:ascii="Times New Roman" w:hAnsi="Times New Roman" w:eastAsia="仿宋_GB2312" w:cs="Times New Roman"/>
          <w:color w:val="auto"/>
          <w:sz w:val="32"/>
          <w:szCs w:val="32"/>
          <w:lang w:val="en-US" w:eastAsia="zh-CN"/>
        </w:rPr>
        <w:t>地下水位下降、水量减少、疏干区域的保护恢复工程以及解决影响区域的居民生产生活用水的工程；</w:t>
      </w:r>
    </w:p>
    <w:p>
      <w:pPr>
        <w:spacing w:line="58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（四）矿山建设、开采及其影响范</w:t>
      </w:r>
      <w:r>
        <w:rPr>
          <w:rFonts w:hint="eastAsia" w:ascii="Times New Roman" w:hAnsi="Times New Roman" w:eastAsia="仿宋_GB2312" w:cs="Times New Roman"/>
          <w:color w:val="auto"/>
          <w:sz w:val="32"/>
          <w:szCs w:val="32"/>
          <w:lang w:val="en-US" w:eastAsia="zh-CN"/>
        </w:rPr>
        <w:t>围的土地损毁以及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不留续使用的工业场地、采矿坑、排土场、堆渣场、排矸场、矿山道路等土地复垦；</w:t>
      </w:r>
    </w:p>
    <w:p>
      <w:pPr>
        <w:spacing w:line="58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五</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kern w:val="0"/>
          <w:sz w:val="32"/>
          <w:szCs w:val="32"/>
        </w:rPr>
        <w:t>矿山地质环境治理恢复与土地复垦</w:t>
      </w:r>
      <w:r>
        <w:rPr>
          <w:rFonts w:hint="eastAsia" w:ascii="Times New Roman" w:hAnsi="Times New Roman" w:eastAsia="仿宋_GB2312" w:cs="Times New Roman"/>
          <w:kern w:val="0"/>
          <w:sz w:val="32"/>
          <w:szCs w:val="32"/>
          <w:lang w:val="en-US" w:eastAsia="zh-CN"/>
        </w:rPr>
        <w:t>调查评价、规划编制、</w:t>
      </w:r>
      <w:r>
        <w:rPr>
          <w:rFonts w:ascii="Times New Roman" w:hAnsi="Times New Roman" w:eastAsia="仿宋_GB2312" w:cs="Times New Roman"/>
          <w:kern w:val="0"/>
          <w:sz w:val="32"/>
          <w:szCs w:val="32"/>
        </w:rPr>
        <w:t>工程</w:t>
      </w:r>
      <w:r>
        <w:rPr>
          <w:rFonts w:hint="eastAsia" w:ascii="Times New Roman" w:hAnsi="Times New Roman" w:eastAsia="仿宋_GB2312" w:cs="Times New Roman"/>
          <w:kern w:val="0"/>
          <w:sz w:val="32"/>
          <w:szCs w:val="32"/>
          <w:lang w:eastAsia="zh-CN"/>
        </w:rPr>
        <w:t>勘察</w:t>
      </w:r>
      <w:r>
        <w:rPr>
          <w:rFonts w:ascii="Times New Roman" w:hAnsi="Times New Roman" w:eastAsia="仿宋_GB2312" w:cs="Times New Roman"/>
          <w:kern w:val="0"/>
          <w:sz w:val="32"/>
          <w:szCs w:val="32"/>
        </w:rPr>
        <w:t>、设计、竣工验收</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管护工程等</w:t>
      </w:r>
      <w:r>
        <w:rPr>
          <w:rFonts w:hint="eastAsia" w:ascii="Times New Roman" w:hAnsi="Times New Roman" w:eastAsia="仿宋_GB2312" w:cs="Times New Roman"/>
          <w:kern w:val="0"/>
          <w:sz w:val="32"/>
          <w:szCs w:val="32"/>
          <w:lang w:eastAsia="zh-CN"/>
        </w:rPr>
        <w:t>；</w:t>
      </w:r>
    </w:p>
    <w:p>
      <w:pPr>
        <w:spacing w:line="58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六</w:t>
      </w:r>
      <w:r>
        <w:rPr>
          <w:rFonts w:ascii="Times New Roman" w:hAnsi="Times New Roman" w:eastAsia="仿宋_GB2312" w:cs="Times New Roman"/>
          <w:kern w:val="0"/>
          <w:sz w:val="32"/>
          <w:szCs w:val="32"/>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矿山地质环境与土地复垦等监测工程；</w:t>
      </w:r>
    </w:p>
    <w:p>
      <w:pPr>
        <w:spacing w:line="58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（七）矿区相邻的矿山企业联合使用基金实施源头治理、系统治理、综合治理的支出。</w:t>
      </w:r>
    </w:p>
    <w:p>
      <w:pPr>
        <w:spacing w:line="58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以矿山地质环境治理恢复和土地复垦为目的的科学研究、宣传教育培训、示范试验、技术推广等，费用不超过年度基金总额的5%。</w:t>
      </w:r>
    </w:p>
    <w:p>
      <w:pPr>
        <w:spacing w:line="580" w:lineRule="exact"/>
        <w:ind w:firstLine="643"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b/>
          <w:bCs/>
          <w:color w:val="auto"/>
          <w:kern w:val="0"/>
          <w:sz w:val="32"/>
          <w:szCs w:val="32"/>
          <w:lang w:val="en-US" w:eastAsia="zh-CN"/>
        </w:rPr>
        <w:t>第十六条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kern w:val="0"/>
          <w:sz w:val="32"/>
          <w:szCs w:val="32"/>
          <w:lang w:val="en-US" w:eastAsia="zh-CN"/>
        </w:rPr>
        <w:t>矿山企业在全面履行矿山地质环境治理恢复与土地复垦义务的基础上，鼓励开展循环农（林）业、生态养殖、生态旅游、自然教育、矿山公园等生态产业。</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hint="eastAsia" w:ascii="Times New Roman" w:hAnsi="黑体" w:eastAsia="黑体" w:cs="Times New Roman"/>
          <w:b w:val="0"/>
          <w:sz w:val="32"/>
          <w:szCs w:val="32"/>
          <w:lang w:val="en-US" w:eastAsia="zh-CN"/>
        </w:rPr>
      </w:pPr>
      <w:r>
        <w:rPr>
          <w:rFonts w:hint="eastAsia" w:ascii="Times New Roman" w:hAnsi="黑体" w:eastAsia="黑体" w:cs="Times New Roman"/>
          <w:b w:val="0"/>
          <w:sz w:val="32"/>
          <w:szCs w:val="32"/>
          <w:lang w:val="en-US" w:eastAsia="zh-CN"/>
        </w:rPr>
        <w:t>第四章</w:t>
      </w:r>
      <w:r>
        <w:rPr>
          <w:rFonts w:hint="eastAsia" w:ascii="Times New Roman" w:hAnsi="黑体" w:eastAsia="黑体" w:cs="Times New Roman"/>
          <w:b w:val="0"/>
          <w:sz w:val="32"/>
          <w:szCs w:val="32"/>
        </w:rPr>
        <w:t xml:space="preserve"> 使用</w:t>
      </w:r>
      <w:bookmarkEnd w:id="2"/>
      <w:r>
        <w:rPr>
          <w:rFonts w:hint="eastAsia" w:ascii="Times New Roman" w:hAnsi="黑体" w:eastAsia="黑体" w:cs="Times New Roman"/>
          <w:b w:val="0"/>
          <w:sz w:val="32"/>
          <w:szCs w:val="32"/>
          <w:lang w:val="en-US" w:eastAsia="zh-CN"/>
        </w:rPr>
        <w:t>程序</w:t>
      </w:r>
    </w:p>
    <w:p>
      <w:pPr>
        <w:spacing w:line="580" w:lineRule="exact"/>
        <w:ind w:firstLine="643" w:firstLineChars="20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ascii="Times New Roman" w:hAnsi="Times New Roman" w:eastAsia="仿宋_GB2312" w:cs="Times New Roman"/>
          <w:b/>
          <w:kern w:val="0"/>
          <w:sz w:val="32"/>
          <w:szCs w:val="32"/>
        </w:rPr>
        <w:t>第十</w:t>
      </w:r>
      <w:r>
        <w:rPr>
          <w:rFonts w:hint="eastAsia" w:ascii="Times New Roman" w:hAnsi="Times New Roman" w:eastAsia="仿宋_GB2312" w:cs="Times New Roman"/>
          <w:b/>
          <w:kern w:val="0"/>
          <w:sz w:val="32"/>
          <w:szCs w:val="32"/>
          <w:lang w:val="en-US" w:eastAsia="zh-CN"/>
        </w:rPr>
        <w:t>七</w:t>
      </w:r>
      <w:r>
        <w:rPr>
          <w:rFonts w:ascii="Times New Roman" w:hAnsi="Times New Roman" w:eastAsia="仿宋_GB2312" w:cs="Times New Roman"/>
          <w:b/>
          <w:kern w:val="0"/>
          <w:sz w:val="32"/>
          <w:szCs w:val="32"/>
        </w:rPr>
        <w:t xml:space="preserve">条 </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矿山企业应根据公告的《方案》编制年度治理计划，包括《方案》年度工程部署情况、年度拟实施工程概况、基金累计提取和使用情况、拟实施工程的施工计划、基金使用预算、进度安排等内容，每年12月底前将下一年度治理计划向县级自然资源主管部门报备，油、气（煤层气）采矿权的年度治理计划应当同时向市级自然资源主管部门报备。</w:t>
      </w:r>
    </w:p>
    <w:p>
      <w:pPr>
        <w:spacing w:line="580" w:lineRule="exact"/>
        <w:ind w:firstLine="643" w:firstLineChars="20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十八</w:t>
      </w:r>
      <w:r>
        <w:rPr>
          <w:rFonts w:ascii="Times New Roman" w:hAnsi="Times New Roman" w:eastAsia="仿宋_GB2312" w:cs="Times New Roman"/>
          <w:b/>
          <w:kern w:val="0"/>
          <w:sz w:val="32"/>
          <w:szCs w:val="32"/>
        </w:rPr>
        <w:t>条</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 xml:space="preserve"> 矿山企业应当按照年度治理计划要求落实矿山地质环境治理恢复与土地复垦任务，并适时向自然资源主管部门申请工程验收。</w:t>
      </w:r>
    </w:p>
    <w:p>
      <w:pPr>
        <w:spacing w:line="580" w:lineRule="exact"/>
        <w:ind w:firstLine="640" w:firstLineChars="20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方案》的年度治理工程验收由县级自然资源主管部门会同同级财政、生态环境等部门组织并出具验收意见；《方案》的适用期治理工程验收由市级自然资源主管部门会同同级财政、生态环境等部门组织并出具验收意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跨县级、市级行政区域矿业权的年度治理工程和适用期治理工程的验收，由上一级自然资源主管部门会同同级财政、生态环境等部门组织并出具验收意见。</w:t>
      </w:r>
    </w:p>
    <w:p>
      <w:pPr>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验收意见应当明确工程概况、基金提取情况、工程实施情况、基金使用与核算情况、存在的问题和整改建议、验收结论。</w:t>
      </w:r>
    </w:p>
    <w:p>
      <w:pPr>
        <w:spacing w:line="580" w:lineRule="exact"/>
        <w:ind w:firstLine="643" w:firstLineChars="200"/>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十九</w:t>
      </w:r>
      <w:r>
        <w:rPr>
          <w:rFonts w:ascii="Times New Roman" w:hAnsi="Times New Roman" w:eastAsia="仿宋_GB2312" w:cs="Times New Roman"/>
          <w:b/>
          <w:kern w:val="0"/>
          <w:sz w:val="32"/>
          <w:szCs w:val="32"/>
        </w:rPr>
        <w:t>条</w:t>
      </w:r>
      <w:r>
        <w:rPr>
          <w:rFonts w:hint="eastAsia" w:ascii="Times New Roman" w:hAnsi="Times New Roman" w:eastAsia="仿宋_GB2312" w:cs="Times New Roman"/>
          <w:b/>
          <w:kern w:val="0"/>
          <w:sz w:val="32"/>
          <w:szCs w:val="32"/>
          <w:lang w:val="en-US" w:eastAsia="zh-CN"/>
        </w:rPr>
        <w:t xml:space="preserve"> </w:t>
      </w:r>
      <w:r>
        <w:rPr>
          <w:rFonts w:hint="eastAsia" w:ascii="Times New Roman" w:hAnsi="Times New Roman" w:eastAsia="仿宋_GB2312" w:cs="Times New Roman"/>
          <w:sz w:val="32"/>
          <w:szCs w:val="32"/>
          <w:highlight w:val="none"/>
          <w:lang w:val="en-US" w:eastAsia="zh-CN"/>
        </w:rPr>
        <w:t>基金由矿山企业自主使用，矿山企业按照报备的年度治理计划中经费预算、工程实施计划、进度安排等及时使用。年度治理工程或适用期治理工程验收合格后，</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县级自然资源主管部门根据</w:t>
      </w:r>
      <w:r>
        <w:rPr>
          <w:rFonts w:hint="eastAsia" w:ascii="Times New Roman" w:hAnsi="Times New Roman" w:eastAsia="仿宋_GB2312" w:cs="Times New Roman"/>
          <w:sz w:val="32"/>
          <w:szCs w:val="32"/>
          <w:lang w:eastAsia="zh-CN"/>
        </w:rPr>
        <w:t>验</w:t>
      </w:r>
      <w:r>
        <w:rPr>
          <w:rFonts w:hint="eastAsia" w:ascii="Times New Roman" w:hAnsi="Times New Roman" w:eastAsia="仿宋_GB2312" w:cs="Times New Roman"/>
          <w:sz w:val="32"/>
          <w:szCs w:val="32"/>
          <w:highlight w:val="none"/>
          <w:lang w:val="en-US" w:eastAsia="zh-CN"/>
        </w:rPr>
        <w:t>收意见对</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矿山企业年度或适用期基金使用情况进行核算。</w:t>
      </w:r>
    </w:p>
    <w:p>
      <w:pPr>
        <w:spacing w:line="580" w:lineRule="exact"/>
        <w:ind w:firstLine="643" w:firstLineChars="200"/>
        <w:rPr>
          <w:rFonts w:hint="eastAsia"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二十</w:t>
      </w:r>
      <w:r>
        <w:rPr>
          <w:rFonts w:ascii="Times New Roman" w:hAnsi="Times New Roman" w:eastAsia="仿宋_GB2312" w:cs="Times New Roman"/>
          <w:b/>
          <w:kern w:val="0"/>
          <w:sz w:val="32"/>
          <w:szCs w:val="32"/>
        </w:rPr>
        <w:t>条</w:t>
      </w:r>
      <w:r>
        <w:rPr>
          <w:rFonts w:ascii="Times New Roman" w:hAnsi="Times New Roman" w:eastAsia="仿宋_GB2312" w:cs="Times New Roman"/>
          <w:kern w:val="0"/>
          <w:sz w:val="32"/>
          <w:szCs w:val="32"/>
        </w:rPr>
        <w:t xml:space="preserve"> 依法转让</w:t>
      </w:r>
      <w:r>
        <w:rPr>
          <w:rFonts w:hint="eastAsia" w:ascii="Times New Roman" w:hAnsi="Times New Roman" w:eastAsia="仿宋_GB2312" w:cs="Times New Roman"/>
          <w:kern w:val="0"/>
          <w:sz w:val="32"/>
          <w:szCs w:val="32"/>
          <w:lang w:val="en-US" w:eastAsia="zh-CN"/>
        </w:rPr>
        <w:t>或整合</w:t>
      </w:r>
      <w:r>
        <w:rPr>
          <w:rFonts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lang w:val="en-US" w:eastAsia="zh-CN"/>
        </w:rPr>
        <w:t>矿山</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矿山地质环境治理恢复</w:t>
      </w:r>
      <w:r>
        <w:rPr>
          <w:rFonts w:hint="eastAsia" w:ascii="Times New Roman" w:hAnsi="Times New Roman" w:eastAsia="仿宋_GB2312" w:cs="Times New Roman"/>
          <w:kern w:val="0"/>
          <w:sz w:val="32"/>
          <w:szCs w:val="32"/>
        </w:rPr>
        <w:t>与</w:t>
      </w:r>
      <w:r>
        <w:rPr>
          <w:rFonts w:hint="eastAsia" w:ascii="Times New Roman" w:hAnsi="Times New Roman" w:eastAsia="仿宋_GB2312" w:cs="Times New Roman"/>
          <w:kern w:val="0"/>
          <w:sz w:val="32"/>
          <w:szCs w:val="32"/>
          <w:lang w:val="en-US" w:eastAsia="zh-CN"/>
        </w:rPr>
        <w:t>复垦责任</w:t>
      </w:r>
      <w:r>
        <w:rPr>
          <w:rFonts w:hint="eastAsia" w:ascii="Times New Roman" w:hAnsi="Times New Roman" w:eastAsia="仿宋_GB2312" w:cs="Times New Roman"/>
          <w:kern w:val="0"/>
          <w:sz w:val="32"/>
          <w:szCs w:val="32"/>
        </w:rPr>
        <w:t>一并</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转移</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新的矿山企业</w:t>
      </w:r>
      <w:r>
        <w:rPr>
          <w:rFonts w:hint="eastAsia" w:ascii="Times New Roman" w:hAnsi="Times New Roman" w:eastAsia="仿宋_GB2312" w:cs="Times New Roman"/>
          <w:kern w:val="0"/>
          <w:sz w:val="32"/>
          <w:szCs w:val="32"/>
        </w:rPr>
        <w:t>应</w:t>
      </w:r>
      <w:r>
        <w:rPr>
          <w:rFonts w:hint="eastAsia" w:ascii="Times New Roman" w:hAnsi="Times New Roman" w:eastAsia="仿宋_GB2312" w:cs="Times New Roman"/>
          <w:kern w:val="0"/>
          <w:sz w:val="32"/>
          <w:szCs w:val="32"/>
          <w:lang w:val="en-US" w:eastAsia="zh-CN"/>
        </w:rPr>
        <w:t>当承担矿山地质环境治理恢复与复垦责任和义务</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按照本办法规定</w:t>
      </w:r>
      <w:r>
        <w:rPr>
          <w:rFonts w:hint="eastAsia" w:ascii="Times New Roman" w:hAnsi="Times New Roman" w:eastAsia="仿宋_GB2312" w:cs="Times New Roman"/>
          <w:kern w:val="0"/>
          <w:sz w:val="32"/>
          <w:szCs w:val="32"/>
          <w:lang w:val="en-US" w:eastAsia="zh-CN"/>
        </w:rPr>
        <w:t>建立基金账户，并提取</w:t>
      </w:r>
      <w:r>
        <w:rPr>
          <w:rFonts w:hint="eastAsia" w:ascii="Times New Roman" w:hAnsi="Times New Roman" w:eastAsia="仿宋_GB2312" w:cs="Times New Roman"/>
          <w:kern w:val="0"/>
          <w:sz w:val="32"/>
          <w:szCs w:val="32"/>
        </w:rPr>
        <w:t>、使用和管理基金。原</w:t>
      </w:r>
      <w:r>
        <w:rPr>
          <w:rFonts w:hint="eastAsia" w:ascii="Times New Roman" w:hAnsi="Times New Roman" w:eastAsia="仿宋_GB2312" w:cs="Times New Roman"/>
          <w:kern w:val="0"/>
          <w:sz w:val="32"/>
          <w:szCs w:val="32"/>
          <w:lang w:eastAsia="zh-CN"/>
        </w:rPr>
        <w:t>矿山企业</w:t>
      </w:r>
      <w:r>
        <w:rPr>
          <w:rFonts w:hint="eastAsia" w:ascii="Times New Roman" w:hAnsi="Times New Roman" w:eastAsia="仿宋_GB2312" w:cs="Times New Roman"/>
          <w:kern w:val="0"/>
          <w:sz w:val="32"/>
          <w:szCs w:val="32"/>
        </w:rPr>
        <w:t>已</w:t>
      </w:r>
      <w:r>
        <w:rPr>
          <w:rFonts w:hint="eastAsia" w:ascii="Times New Roman" w:hAnsi="Times New Roman" w:eastAsia="仿宋_GB2312" w:cs="Times New Roman"/>
          <w:kern w:val="0"/>
          <w:sz w:val="32"/>
          <w:szCs w:val="32"/>
          <w:lang w:val="en-US" w:eastAsia="zh-CN"/>
        </w:rPr>
        <w:t>提取</w:t>
      </w:r>
      <w:r>
        <w:rPr>
          <w:rFonts w:hint="eastAsia" w:ascii="Times New Roman" w:hAnsi="Times New Roman" w:eastAsia="仿宋_GB2312" w:cs="Times New Roman"/>
          <w:kern w:val="0"/>
          <w:sz w:val="32"/>
          <w:szCs w:val="32"/>
        </w:rPr>
        <w:t>基金由其与</w:t>
      </w:r>
      <w:r>
        <w:rPr>
          <w:rFonts w:hint="eastAsia" w:ascii="Times New Roman" w:hAnsi="Times New Roman" w:eastAsia="仿宋_GB2312" w:cs="Times New Roman"/>
          <w:kern w:val="0"/>
          <w:sz w:val="32"/>
          <w:szCs w:val="32"/>
          <w:lang w:val="en-US" w:eastAsia="zh-CN"/>
        </w:rPr>
        <w:t>新矿山企业</w:t>
      </w:r>
      <w:r>
        <w:rPr>
          <w:rFonts w:hint="eastAsia" w:ascii="Times New Roman" w:hAnsi="Times New Roman" w:eastAsia="仿宋_GB2312" w:cs="Times New Roman"/>
          <w:kern w:val="0"/>
          <w:sz w:val="32"/>
          <w:szCs w:val="32"/>
        </w:rPr>
        <w:t>双方协商</w:t>
      </w:r>
      <w:r>
        <w:rPr>
          <w:rFonts w:hint="eastAsia" w:ascii="Times New Roman" w:hAnsi="Times New Roman" w:eastAsia="仿宋_GB2312" w:cs="Times New Roman"/>
          <w:kern w:val="0"/>
          <w:sz w:val="32"/>
          <w:szCs w:val="32"/>
          <w:lang w:val="en-US" w:eastAsia="zh-CN"/>
        </w:rPr>
        <w:t>转移</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协商转移后，新基金账户中的基金应能够满足承担矿山地质环境治理恢复与复垦责任的需要</w:t>
      </w:r>
      <w:r>
        <w:rPr>
          <w:rFonts w:hint="eastAsia" w:ascii="Times New Roman" w:hAnsi="Times New Roman" w:eastAsia="仿宋_GB2312" w:cs="Times New Roman"/>
          <w:kern w:val="0"/>
          <w:sz w:val="32"/>
          <w:szCs w:val="32"/>
        </w:rPr>
        <w:t>。</w:t>
      </w:r>
    </w:p>
    <w:p>
      <w:pPr>
        <w:spacing w:line="580" w:lineRule="exact"/>
        <w:ind w:firstLine="643"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二十一</w:t>
      </w:r>
      <w:r>
        <w:rPr>
          <w:rFonts w:ascii="Times New Roman" w:hAnsi="Times New Roman" w:eastAsia="仿宋_GB2312" w:cs="Times New Roman"/>
          <w:b/>
          <w:kern w:val="0"/>
          <w:sz w:val="32"/>
          <w:szCs w:val="32"/>
        </w:rPr>
        <w:t xml:space="preserve">条 </w:t>
      </w:r>
      <w:r>
        <w:rPr>
          <w:rFonts w:hint="eastAsia" w:ascii="Times New Roman" w:hAnsi="Times New Roman" w:eastAsia="仿宋_GB2312" w:cs="Times New Roman"/>
          <w:kern w:val="0"/>
          <w:sz w:val="32"/>
          <w:szCs w:val="32"/>
        </w:rPr>
        <w:t>终止采矿行为的</w:t>
      </w:r>
      <w:r>
        <w:rPr>
          <w:rFonts w:hint="eastAsia" w:ascii="Times New Roman" w:hAnsi="Times New Roman" w:eastAsia="仿宋_GB2312" w:cs="Times New Roman"/>
          <w:kern w:val="0"/>
          <w:sz w:val="32"/>
          <w:szCs w:val="32"/>
          <w:lang w:val="en-US" w:eastAsia="zh-CN"/>
        </w:rPr>
        <w:t>矿山企业</w:t>
      </w:r>
      <w:r>
        <w:rPr>
          <w:rFonts w:hint="eastAsia" w:ascii="Times New Roman" w:hAnsi="Times New Roman" w:eastAsia="仿宋_GB2312" w:cs="Times New Roman"/>
          <w:kern w:val="0"/>
          <w:sz w:val="32"/>
          <w:szCs w:val="32"/>
        </w:rPr>
        <w:t>，应当</w:t>
      </w:r>
      <w:r>
        <w:rPr>
          <w:rFonts w:hint="eastAsia" w:ascii="Times New Roman" w:hAnsi="Times New Roman" w:eastAsia="仿宋_GB2312" w:cs="Times New Roman"/>
          <w:kern w:val="0"/>
          <w:sz w:val="32"/>
          <w:szCs w:val="32"/>
          <w:lang w:val="en-US" w:eastAsia="zh-CN"/>
        </w:rPr>
        <w:t>继续</w:t>
      </w:r>
      <w:r>
        <w:rPr>
          <w:rFonts w:hint="eastAsia" w:ascii="Times New Roman" w:hAnsi="Times New Roman" w:eastAsia="仿宋_GB2312" w:cs="Times New Roman"/>
          <w:kern w:val="0"/>
          <w:sz w:val="32"/>
          <w:szCs w:val="32"/>
        </w:rPr>
        <w:t>履行其矿山地质环境治理恢复与土地复垦义务，所需资金从</w:t>
      </w:r>
      <w:r>
        <w:rPr>
          <w:rFonts w:hint="eastAsia" w:ascii="Times New Roman" w:hAnsi="Times New Roman" w:eastAsia="仿宋_GB2312" w:cs="Times New Roman"/>
          <w:kern w:val="0"/>
          <w:sz w:val="32"/>
          <w:szCs w:val="32"/>
          <w:lang w:val="en-US" w:eastAsia="zh-CN"/>
        </w:rPr>
        <w:t>矿山企业</w:t>
      </w:r>
      <w:r>
        <w:rPr>
          <w:rFonts w:hint="eastAsia" w:ascii="Times New Roman" w:hAnsi="Times New Roman" w:eastAsia="仿宋_GB2312" w:cs="Times New Roman"/>
          <w:kern w:val="0"/>
          <w:sz w:val="32"/>
          <w:szCs w:val="32"/>
        </w:rPr>
        <w:t>已提取的基金中列支，不足部分由</w:t>
      </w:r>
      <w:r>
        <w:rPr>
          <w:rFonts w:hint="eastAsia" w:ascii="Times New Roman" w:hAnsi="Times New Roman" w:eastAsia="仿宋_GB2312" w:cs="Times New Roman"/>
          <w:kern w:val="0"/>
          <w:sz w:val="32"/>
          <w:szCs w:val="32"/>
          <w:lang w:val="en-US" w:eastAsia="zh-CN"/>
        </w:rPr>
        <w:t>矿山企业</w:t>
      </w:r>
      <w:r>
        <w:rPr>
          <w:rFonts w:hint="eastAsia" w:ascii="Times New Roman" w:hAnsi="Times New Roman" w:eastAsia="仿宋_GB2312" w:cs="Times New Roman"/>
          <w:kern w:val="0"/>
          <w:sz w:val="32"/>
          <w:szCs w:val="32"/>
        </w:rPr>
        <w:t>补齐。</w:t>
      </w:r>
    </w:p>
    <w:p>
      <w:pPr>
        <w:spacing w:line="580" w:lineRule="exact"/>
        <w:ind w:firstLine="643"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b/>
          <w:kern w:val="0"/>
          <w:sz w:val="32"/>
          <w:szCs w:val="32"/>
          <w:lang w:val="en-US" w:eastAsia="zh-CN"/>
        </w:rPr>
        <w:t xml:space="preserve">第二十二条 </w:t>
      </w:r>
      <w:r>
        <w:rPr>
          <w:rFonts w:hint="eastAsia" w:ascii="Times New Roman" w:hAnsi="Times New Roman" w:eastAsia="仿宋_GB2312" w:cs="Times New Roman"/>
          <w:kern w:val="0"/>
          <w:sz w:val="32"/>
          <w:szCs w:val="32"/>
          <w:highlight w:val="none"/>
          <w:lang w:eastAsia="zh-CN"/>
        </w:rPr>
        <w:t>矿山企业</w:t>
      </w:r>
      <w:r>
        <w:rPr>
          <w:rFonts w:hint="eastAsia" w:ascii="Times New Roman" w:hAnsi="Times New Roman" w:eastAsia="仿宋_GB2312" w:cs="Times New Roman"/>
          <w:kern w:val="0"/>
          <w:sz w:val="32"/>
          <w:szCs w:val="32"/>
          <w:highlight w:val="none"/>
        </w:rPr>
        <w:t>基金</w:t>
      </w:r>
      <w:r>
        <w:rPr>
          <w:rFonts w:hint="eastAsia" w:ascii="Times New Roman" w:hAnsi="Times New Roman" w:eastAsia="仿宋_GB2312" w:cs="Times New Roman"/>
          <w:kern w:val="0"/>
          <w:sz w:val="32"/>
          <w:szCs w:val="32"/>
          <w:highlight w:val="none"/>
          <w:lang w:val="en-US" w:eastAsia="zh-CN"/>
        </w:rPr>
        <w:t>被</w:t>
      </w:r>
      <w:r>
        <w:rPr>
          <w:rFonts w:hint="eastAsia" w:ascii="Times New Roman" w:hAnsi="Times New Roman" w:eastAsia="仿宋_GB2312" w:cs="Times New Roman"/>
          <w:kern w:val="0"/>
          <w:sz w:val="32"/>
          <w:szCs w:val="32"/>
          <w:highlight w:val="none"/>
        </w:rPr>
        <w:t>冻结或扣划</w:t>
      </w:r>
      <w:r>
        <w:rPr>
          <w:rFonts w:hint="eastAsia" w:ascii="Times New Roman" w:hAnsi="Times New Roman" w:eastAsia="仿宋_GB2312" w:cs="Times New Roman"/>
          <w:kern w:val="0"/>
          <w:sz w:val="32"/>
          <w:szCs w:val="32"/>
          <w:highlight w:val="none"/>
          <w:lang w:val="en-US" w:eastAsia="zh-CN"/>
        </w:rPr>
        <w:t>的</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应限期</w:t>
      </w:r>
      <w:r>
        <w:rPr>
          <w:rFonts w:hint="eastAsia" w:ascii="Times New Roman" w:hAnsi="Times New Roman" w:eastAsia="仿宋_GB2312" w:cs="Times New Roman"/>
          <w:kern w:val="0"/>
          <w:sz w:val="32"/>
          <w:szCs w:val="32"/>
          <w:highlight w:val="none"/>
        </w:rPr>
        <w:t>补</w:t>
      </w:r>
      <w:r>
        <w:rPr>
          <w:rFonts w:hint="eastAsia" w:ascii="Times New Roman" w:hAnsi="Times New Roman" w:eastAsia="仿宋_GB2312" w:cs="Times New Roman"/>
          <w:kern w:val="0"/>
          <w:sz w:val="32"/>
          <w:szCs w:val="32"/>
          <w:highlight w:val="none"/>
          <w:lang w:val="en-US" w:eastAsia="zh-CN"/>
        </w:rPr>
        <w:t>足</w:t>
      </w:r>
      <w:r>
        <w:rPr>
          <w:rFonts w:hint="eastAsia" w:ascii="Times New Roman" w:hAnsi="Times New Roman" w:eastAsia="仿宋_GB2312" w:cs="Times New Roman"/>
          <w:kern w:val="0"/>
          <w:sz w:val="32"/>
          <w:szCs w:val="32"/>
          <w:highlight w:val="none"/>
        </w:rPr>
        <w:t>应缴数额的基金。</w:t>
      </w:r>
      <w:r>
        <w:rPr>
          <w:rFonts w:hint="eastAsia" w:ascii="Times New Roman" w:hAnsi="Times New Roman" w:eastAsia="仿宋_GB2312" w:cs="Times New Roman"/>
          <w:kern w:val="0"/>
          <w:sz w:val="32"/>
          <w:szCs w:val="32"/>
          <w:highlight w:val="none"/>
          <w:lang w:val="en-US" w:eastAsia="zh-CN"/>
        </w:rPr>
        <w:t>矿山企业</w:t>
      </w:r>
      <w:r>
        <w:rPr>
          <w:rFonts w:hint="eastAsia" w:ascii="Times New Roman" w:hAnsi="Times New Roman" w:eastAsia="仿宋_GB2312" w:cs="Times New Roman"/>
          <w:kern w:val="0"/>
          <w:sz w:val="32"/>
          <w:szCs w:val="32"/>
          <w:highlight w:val="none"/>
        </w:rPr>
        <w:t>破产清算后的剩余资产，应当优先进行矿山地质环境保护与土地复垦支出</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国家法律法规另有规定的，按相应规定执行。</w:t>
      </w:r>
    </w:p>
    <w:p>
      <w:pPr>
        <w:spacing w:line="580" w:lineRule="exact"/>
        <w:ind w:firstLine="643" w:firstLineChars="200"/>
        <w:rPr>
          <w:rFonts w:hint="eastAsia"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二十三</w:t>
      </w:r>
      <w:r>
        <w:rPr>
          <w:rFonts w:ascii="Times New Roman" w:hAnsi="Times New Roman" w:eastAsia="仿宋_GB2312" w:cs="Times New Roman"/>
          <w:b/>
          <w:kern w:val="0"/>
          <w:sz w:val="32"/>
          <w:szCs w:val="32"/>
        </w:rPr>
        <w:t>条</w:t>
      </w:r>
      <w:r>
        <w:rPr>
          <w:rFonts w:hint="eastAsia" w:ascii="Times New Roman" w:hAnsi="Times New Roman" w:eastAsia="仿宋_GB2312" w:cs="Times New Roman"/>
          <w:b/>
          <w:kern w:val="0"/>
          <w:sz w:val="32"/>
          <w:szCs w:val="32"/>
          <w:lang w:val="en-US" w:eastAsia="zh-CN"/>
        </w:rPr>
        <w:t xml:space="preserve"> </w:t>
      </w:r>
      <w:r>
        <w:rPr>
          <w:rFonts w:hint="eastAsia" w:ascii="Times New Roman" w:hAnsi="Times New Roman" w:eastAsia="仿宋_GB2312" w:cs="Times New Roman"/>
          <w:sz w:val="32"/>
          <w:szCs w:val="32"/>
          <w:lang w:val="en-US" w:eastAsia="zh-CN"/>
        </w:rPr>
        <w:t>矿山企业</w:t>
      </w:r>
      <w:r>
        <w:rPr>
          <w:rFonts w:hint="eastAsia" w:ascii="Times New Roman" w:hAnsi="Times New Roman" w:eastAsia="仿宋_GB2312" w:cs="Times New Roman"/>
          <w:sz w:val="32"/>
          <w:szCs w:val="32"/>
        </w:rPr>
        <w:t>依法落实矿山</w:t>
      </w:r>
      <w:r>
        <w:rPr>
          <w:rFonts w:hint="eastAsia" w:ascii="Times New Roman" w:hAnsi="Times New Roman" w:eastAsia="仿宋_GB2312" w:cs="Times New Roman"/>
          <w:sz w:val="32"/>
          <w:szCs w:val="32"/>
          <w:lang w:val="en-US" w:eastAsia="zh-CN"/>
        </w:rPr>
        <w:t>地质环境治理恢复</w:t>
      </w:r>
      <w:r>
        <w:rPr>
          <w:rFonts w:hint="eastAsia" w:ascii="Times New Roman" w:hAnsi="Times New Roman" w:eastAsia="仿宋_GB2312" w:cs="Times New Roman"/>
          <w:sz w:val="32"/>
          <w:szCs w:val="32"/>
        </w:rPr>
        <w:t>与</w:t>
      </w:r>
      <w:r>
        <w:rPr>
          <w:rFonts w:hint="eastAsia" w:ascii="Times New Roman" w:hAnsi="Times New Roman" w:eastAsia="仿宋_GB2312" w:cs="Times New Roman"/>
          <w:sz w:val="32"/>
          <w:szCs w:val="32"/>
          <w:lang w:val="en-US" w:eastAsia="zh-CN"/>
        </w:rPr>
        <w:t>土地复垦</w:t>
      </w:r>
      <w:r>
        <w:rPr>
          <w:rFonts w:hint="eastAsia" w:ascii="Times New Roman" w:hAnsi="Times New Roman" w:eastAsia="仿宋_GB2312" w:cs="Times New Roman"/>
          <w:sz w:val="32"/>
          <w:szCs w:val="32"/>
        </w:rPr>
        <w:t>责任的、按规定实施闭坑并完成</w:t>
      </w:r>
      <w:r>
        <w:rPr>
          <w:rFonts w:hint="eastAsia" w:ascii="Times New Roman" w:hAnsi="Times New Roman" w:eastAsia="仿宋_GB2312" w:cs="Times New Roman"/>
          <w:sz w:val="32"/>
          <w:szCs w:val="32"/>
          <w:lang w:val="en-US" w:eastAsia="zh-CN"/>
        </w:rPr>
        <w:t>治理恢复与土地复垦</w:t>
      </w:r>
      <w:r>
        <w:rPr>
          <w:rFonts w:hint="eastAsia" w:ascii="Times New Roman" w:hAnsi="Times New Roman" w:eastAsia="仿宋_GB2312" w:cs="Times New Roman"/>
          <w:sz w:val="32"/>
          <w:szCs w:val="32"/>
        </w:rPr>
        <w:t>任务的、按政策要求关闭并明确不需要承担</w:t>
      </w:r>
      <w:r>
        <w:rPr>
          <w:rFonts w:hint="eastAsia" w:ascii="Times New Roman" w:hAnsi="Times New Roman" w:eastAsia="仿宋_GB2312" w:cs="Times New Roman"/>
          <w:sz w:val="32"/>
          <w:szCs w:val="32"/>
          <w:lang w:val="en-US" w:eastAsia="zh-CN"/>
        </w:rPr>
        <w:t>治理恢复与土地复垦</w:t>
      </w:r>
      <w:r>
        <w:rPr>
          <w:rFonts w:hint="eastAsia" w:ascii="Times New Roman" w:hAnsi="Times New Roman" w:eastAsia="仿宋_GB2312" w:cs="Times New Roman"/>
          <w:sz w:val="32"/>
          <w:szCs w:val="32"/>
        </w:rPr>
        <w:t>责任的，</w:t>
      </w:r>
      <w:r>
        <w:rPr>
          <w:rFonts w:hint="eastAsia" w:ascii="Times New Roman" w:hAnsi="Times New Roman" w:eastAsia="仿宋_GB2312" w:cs="Times New Roman"/>
          <w:sz w:val="32"/>
          <w:szCs w:val="32"/>
          <w:lang w:val="en-US" w:eastAsia="zh-CN"/>
        </w:rPr>
        <w:t>管护期满并经验收合格后，注销基金账户</w:t>
      </w:r>
      <w:r>
        <w:rPr>
          <w:rFonts w:hint="eastAsia" w:ascii="Times New Roman" w:hAnsi="Times New Roman" w:eastAsia="仿宋_GB2312" w:cs="Times New Roman"/>
          <w:sz w:val="32"/>
          <w:szCs w:val="32"/>
        </w:rPr>
        <w:t>。</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hint="eastAsia" w:ascii="Times New Roman" w:hAnsi="黑体" w:eastAsia="黑体" w:cs="Times New Roman"/>
          <w:b w:val="0"/>
          <w:sz w:val="32"/>
          <w:szCs w:val="32"/>
        </w:rPr>
      </w:pPr>
      <w:bookmarkStart w:id="3" w:name="_Toc482136639"/>
      <w:r>
        <w:rPr>
          <w:rFonts w:hint="eastAsia" w:ascii="Times New Roman" w:hAnsi="黑体" w:eastAsia="黑体" w:cs="Times New Roman"/>
          <w:b w:val="0"/>
          <w:sz w:val="32"/>
          <w:szCs w:val="32"/>
        </w:rPr>
        <w:t>第</w:t>
      </w:r>
      <w:r>
        <w:rPr>
          <w:rFonts w:hint="eastAsia" w:ascii="Times New Roman" w:hAnsi="黑体" w:eastAsia="黑体" w:cs="Times New Roman"/>
          <w:b w:val="0"/>
          <w:sz w:val="32"/>
          <w:szCs w:val="32"/>
          <w:lang w:val="en-US" w:eastAsia="zh-CN"/>
        </w:rPr>
        <w:t>五</w:t>
      </w:r>
      <w:r>
        <w:rPr>
          <w:rFonts w:hint="eastAsia" w:ascii="Times New Roman" w:hAnsi="黑体" w:eastAsia="黑体" w:cs="Times New Roman"/>
          <w:b w:val="0"/>
          <w:sz w:val="32"/>
          <w:szCs w:val="32"/>
        </w:rPr>
        <w:t>章 监督管理</w:t>
      </w:r>
      <w:bookmarkEnd w:id="3"/>
    </w:p>
    <w:p>
      <w:pPr>
        <w:spacing w:line="580" w:lineRule="exact"/>
        <w:ind w:firstLine="643"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二十四</w:t>
      </w:r>
      <w:r>
        <w:rPr>
          <w:rFonts w:ascii="Times New Roman" w:hAnsi="Times New Roman" w:eastAsia="仿宋_GB2312" w:cs="Times New Roman"/>
          <w:b/>
          <w:kern w:val="0"/>
          <w:sz w:val="32"/>
          <w:szCs w:val="32"/>
        </w:rPr>
        <w:t>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各级自然资源、</w:t>
      </w:r>
      <w:r>
        <w:rPr>
          <w:rFonts w:hint="eastAsia" w:ascii="Times New Roman" w:hAnsi="Times New Roman" w:eastAsia="仿宋_GB2312" w:cs="Times New Roman"/>
          <w:sz w:val="32"/>
          <w:szCs w:val="32"/>
          <w:lang w:val="en-US" w:eastAsia="zh-CN"/>
        </w:rPr>
        <w:t>财政和生态环境主管部门按各自职责对基金进行监督管理。自然资源主管部门负责对矿山企业基金提取使用、工程验收及履行义务等情况进行指导和监管。财政主管部门负责对基金制度建立情况、提取使用情况进行指导和监管。生态环境主管部门负责对治理恢复与土地复垦过程中涉及生态环境治理进</w:t>
      </w:r>
      <w:r>
        <w:rPr>
          <w:rFonts w:hint="eastAsia" w:ascii="Times New Roman" w:hAnsi="Times New Roman" w:eastAsia="仿宋_GB2312" w:cs="Times New Roman"/>
          <w:color w:val="auto"/>
          <w:sz w:val="32"/>
          <w:szCs w:val="32"/>
          <w:highlight w:val="none"/>
          <w:lang w:val="en-US" w:eastAsia="zh-CN"/>
        </w:rPr>
        <w:t>行指导和监管</w:t>
      </w:r>
      <w:r>
        <w:rPr>
          <w:rFonts w:hint="eastAsia" w:ascii="Times New Roman" w:hAnsi="Times New Roman" w:eastAsia="仿宋_GB2312" w:cs="Times New Roman"/>
          <w:sz w:val="32"/>
          <w:szCs w:val="32"/>
          <w:lang w:val="en-US" w:eastAsia="zh-CN"/>
        </w:rPr>
        <w:t>。</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省、市自然资源主管部门会同同级财政、生态环境主管部门对基金提取、使用及治理恢复与土地复垦工作落实情况按照“双随机、一公开”的方式进行监督检查。</w:t>
      </w:r>
    </w:p>
    <w:p>
      <w:pPr>
        <w:spacing w:line="580" w:lineRule="exact"/>
        <w:ind w:firstLine="643"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val="en-US" w:eastAsia="zh-CN"/>
        </w:rPr>
        <w:t>第二十五条</w:t>
      </w:r>
      <w:r>
        <w:rPr>
          <w:rFonts w:hint="eastAsia" w:ascii="Times New Roman" w:hAnsi="Times New Roman" w:eastAsia="仿宋_GB2312" w:cs="Times New Roman"/>
          <w:kern w:val="0"/>
          <w:sz w:val="32"/>
          <w:szCs w:val="32"/>
          <w:lang w:val="en-US" w:eastAsia="zh-CN"/>
        </w:rPr>
        <w:t xml:space="preserve"> 矿山企业</w:t>
      </w:r>
      <w:r>
        <w:rPr>
          <w:rFonts w:hint="eastAsia" w:ascii="Times New Roman" w:hAnsi="Times New Roman" w:eastAsia="仿宋_GB2312" w:cs="Times New Roman"/>
          <w:kern w:val="0"/>
          <w:sz w:val="32"/>
          <w:szCs w:val="32"/>
        </w:rPr>
        <w:t>应</w:t>
      </w:r>
      <w:r>
        <w:rPr>
          <w:rFonts w:hint="eastAsia" w:ascii="Times New Roman" w:hAnsi="Times New Roman" w:eastAsia="仿宋_GB2312" w:cs="Times New Roman"/>
          <w:kern w:val="0"/>
          <w:sz w:val="32"/>
          <w:szCs w:val="32"/>
          <w:lang w:val="en-US" w:eastAsia="zh-CN"/>
        </w:rPr>
        <w:t>当</w:t>
      </w:r>
      <w:r>
        <w:rPr>
          <w:rFonts w:hint="eastAsia" w:ascii="Times New Roman" w:hAnsi="Times New Roman" w:eastAsia="仿宋_GB2312" w:cs="Times New Roman"/>
          <w:kern w:val="0"/>
          <w:sz w:val="32"/>
          <w:szCs w:val="32"/>
        </w:rPr>
        <w:t>与所在地县</w:t>
      </w:r>
      <w:r>
        <w:rPr>
          <w:rFonts w:hint="eastAsia" w:ascii="Times New Roman" w:hAnsi="Times New Roman" w:eastAsia="仿宋_GB2312" w:cs="Times New Roman"/>
          <w:kern w:val="0"/>
          <w:sz w:val="32"/>
          <w:szCs w:val="32"/>
          <w:lang w:val="en-US" w:eastAsia="zh-CN"/>
        </w:rPr>
        <w:t>级自然</w:t>
      </w:r>
      <w:r>
        <w:rPr>
          <w:rFonts w:hint="eastAsia" w:ascii="Times New Roman" w:hAnsi="Times New Roman" w:eastAsia="仿宋_GB2312" w:cs="Times New Roman"/>
          <w:kern w:val="0"/>
          <w:sz w:val="32"/>
          <w:szCs w:val="32"/>
        </w:rPr>
        <w:t>资源主管部门、银行共同签订基金使用监管协议，并明确基金提取与使用数额、程序、条件和违约责任等。</w:t>
      </w:r>
    </w:p>
    <w:p>
      <w:pPr>
        <w:spacing w:line="580" w:lineRule="exact"/>
        <w:ind w:firstLine="643"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b/>
          <w:kern w:val="0"/>
          <w:sz w:val="32"/>
          <w:szCs w:val="32"/>
        </w:rPr>
        <w:t>第二十</w:t>
      </w:r>
      <w:r>
        <w:rPr>
          <w:rFonts w:hint="eastAsia" w:ascii="Times New Roman" w:hAnsi="Times New Roman" w:eastAsia="仿宋_GB2312" w:cs="Times New Roman"/>
          <w:b/>
          <w:kern w:val="0"/>
          <w:sz w:val="32"/>
          <w:szCs w:val="32"/>
          <w:lang w:val="en-US" w:eastAsia="zh-CN"/>
        </w:rPr>
        <w:t>六</w:t>
      </w:r>
      <w:r>
        <w:rPr>
          <w:rFonts w:ascii="Times New Roman" w:hAnsi="Times New Roman" w:eastAsia="仿宋_GB2312" w:cs="Times New Roman"/>
          <w:b/>
          <w:kern w:val="0"/>
          <w:sz w:val="32"/>
          <w:szCs w:val="32"/>
        </w:rPr>
        <w:t>条</w:t>
      </w:r>
      <w:r>
        <w:rPr>
          <w:rFonts w:hint="eastAsia" w:ascii="Times New Roman" w:hAnsi="Times New Roman" w:eastAsia="仿宋_GB2312" w:cs="Times New Roman"/>
          <w:b/>
          <w:kern w:val="0"/>
          <w:sz w:val="32"/>
          <w:szCs w:val="32"/>
        </w:rPr>
        <w:t xml:space="preserve"> </w:t>
      </w:r>
      <w:r>
        <w:rPr>
          <w:rFonts w:hint="eastAsia" w:ascii="Times New Roman" w:hAnsi="Times New Roman" w:eastAsia="仿宋_GB2312" w:cs="Times New Roman"/>
          <w:kern w:val="0"/>
          <w:sz w:val="32"/>
          <w:szCs w:val="32"/>
          <w:lang w:val="en-US" w:eastAsia="zh-CN"/>
        </w:rPr>
        <w:t>矿山企业应当将基金的提取、使用及治理恢复与土地复垦工程的执行情况，按要求在相关数据管理信息系统填报。</w:t>
      </w:r>
    </w:p>
    <w:p>
      <w:pPr>
        <w:spacing w:line="580" w:lineRule="exact"/>
        <w:ind w:firstLine="643" w:firstLineChars="200"/>
        <w:rPr>
          <w:rFonts w:hint="eastAsia" w:ascii="Times New Roman" w:hAnsi="Times New Roman" w:eastAsia="仿宋_GB2312" w:cs="Times New Roman"/>
          <w:b w:val="0"/>
          <w:bCs w:val="0"/>
          <w:color w:val="FF0000"/>
          <w:kern w:val="0"/>
          <w:sz w:val="32"/>
          <w:szCs w:val="32"/>
          <w:lang w:val="en-US" w:eastAsia="zh-CN"/>
        </w:rPr>
      </w:pPr>
      <w:r>
        <w:rPr>
          <w:rFonts w:hint="eastAsia" w:ascii="Times New Roman" w:hAnsi="Times New Roman" w:eastAsia="仿宋_GB2312" w:cs="Times New Roman"/>
          <w:b/>
          <w:kern w:val="0"/>
          <w:sz w:val="32"/>
          <w:szCs w:val="32"/>
          <w:lang w:val="en-US" w:eastAsia="zh-CN"/>
        </w:rPr>
        <w:t xml:space="preserve">第二十七条 </w:t>
      </w:r>
      <w:r>
        <w:rPr>
          <w:rFonts w:hint="eastAsia" w:ascii="Times New Roman" w:hAnsi="Times New Roman" w:eastAsia="仿宋_GB2312" w:cs="Times New Roman"/>
          <w:kern w:val="0"/>
          <w:sz w:val="32"/>
          <w:szCs w:val="32"/>
          <w:lang w:val="en-US" w:eastAsia="zh-CN"/>
        </w:rPr>
        <w:t>矿山企业在办理其采矿许可证的延续、变更、注销、申请新的建设用地、需重新编制《方案》时，应当提供原《方案》年度验收或适用期验收意见。</w:t>
      </w:r>
    </w:p>
    <w:p>
      <w:pPr>
        <w:spacing w:line="580" w:lineRule="exact"/>
        <w:ind w:firstLine="643"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二十八</w:t>
      </w:r>
      <w:r>
        <w:rPr>
          <w:rFonts w:ascii="Times New Roman" w:hAnsi="Times New Roman" w:eastAsia="仿宋_GB2312" w:cs="Times New Roman"/>
          <w:b/>
          <w:kern w:val="0"/>
          <w:sz w:val="32"/>
          <w:szCs w:val="32"/>
        </w:rPr>
        <w:t>条</w:t>
      </w:r>
      <w:r>
        <w:rPr>
          <w:rFonts w:hint="eastAsia" w:ascii="Times New Roman" w:hAnsi="Times New Roman" w:eastAsia="仿宋_GB2312" w:cs="Times New Roman"/>
          <w:b/>
          <w:kern w:val="0"/>
          <w:sz w:val="32"/>
          <w:szCs w:val="32"/>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矿山企业</w:t>
      </w:r>
      <w:r>
        <w:rPr>
          <w:rFonts w:ascii="Times New Roman" w:hAnsi="Times New Roman" w:eastAsia="仿宋_GB2312" w:cs="Times New Roman"/>
          <w:kern w:val="0"/>
          <w:sz w:val="32"/>
          <w:szCs w:val="32"/>
        </w:rPr>
        <w:t>不履行治理恢复与土地复垦</w:t>
      </w:r>
      <w:r>
        <w:rPr>
          <w:rFonts w:hint="eastAsia" w:ascii="Times New Roman" w:hAnsi="Times New Roman" w:eastAsia="仿宋_GB2312" w:cs="Times New Roman"/>
          <w:kern w:val="0"/>
          <w:sz w:val="32"/>
          <w:szCs w:val="32"/>
        </w:rPr>
        <w:t>义务或者</w:t>
      </w:r>
      <w:r>
        <w:rPr>
          <w:rFonts w:ascii="Times New Roman" w:hAnsi="Times New Roman" w:eastAsia="仿宋_GB2312" w:cs="Times New Roman"/>
          <w:kern w:val="0"/>
          <w:sz w:val="32"/>
          <w:szCs w:val="32"/>
        </w:rPr>
        <w:t>履行不到位</w:t>
      </w:r>
      <w:r>
        <w:rPr>
          <w:rFonts w:hint="eastAsia" w:ascii="Times New Roman" w:hAnsi="Times New Roman" w:eastAsia="仿宋_GB2312" w:cs="Times New Roman"/>
          <w:kern w:val="0"/>
          <w:sz w:val="32"/>
          <w:szCs w:val="32"/>
        </w:rPr>
        <w:t>且拒不整改</w:t>
      </w:r>
      <w:r>
        <w:rPr>
          <w:rFonts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rPr>
        <w:t>可</w:t>
      </w:r>
      <w:r>
        <w:rPr>
          <w:rFonts w:ascii="Times New Roman" w:hAnsi="Times New Roman" w:eastAsia="仿宋_GB2312" w:cs="Times New Roman"/>
          <w:color w:val="000000" w:themeColor="text1"/>
          <w:sz w:val="32"/>
          <w:szCs w:val="32"/>
          <w14:textFill>
            <w14:solidFill>
              <w14:schemeClr w14:val="tx1"/>
            </w14:solidFill>
          </w14:textFill>
        </w:rPr>
        <w:t>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县级自然</w:t>
      </w:r>
      <w:r>
        <w:rPr>
          <w:rFonts w:ascii="Times New Roman" w:hAnsi="Times New Roman" w:eastAsia="仿宋_GB2312" w:cs="Times New Roman"/>
          <w:color w:val="000000" w:themeColor="text1"/>
          <w:sz w:val="32"/>
          <w:szCs w:val="32"/>
          <w14:textFill>
            <w14:solidFill>
              <w14:schemeClr w14:val="tx1"/>
            </w14:solidFill>
          </w14:textFill>
        </w:rPr>
        <w:t>资源主管</w:t>
      </w:r>
      <w:r>
        <w:rPr>
          <w:rFonts w:hint="eastAsia" w:ascii="Times New Roman" w:hAnsi="Times New Roman" w:eastAsia="仿宋_GB2312" w:cs="Times New Roman"/>
          <w:color w:val="000000" w:themeColor="text1"/>
          <w:sz w:val="32"/>
          <w:szCs w:val="32"/>
          <w14:textFill>
            <w14:solidFill>
              <w14:schemeClr w14:val="tx1"/>
            </w14:solidFill>
          </w14:textFill>
        </w:rPr>
        <w:t>部门</w:t>
      </w:r>
      <w:r>
        <w:rPr>
          <w:rFonts w:ascii="Times New Roman" w:hAnsi="Times New Roman" w:eastAsia="仿宋_GB2312" w:cs="Times New Roman"/>
          <w:color w:val="000000" w:themeColor="text1"/>
          <w:sz w:val="32"/>
          <w:szCs w:val="32"/>
          <w14:textFill>
            <w14:solidFill>
              <w14:schemeClr w14:val="tx1"/>
            </w14:solidFill>
          </w14:textFill>
        </w:rPr>
        <w:t>委托第三方进行治理</w:t>
      </w:r>
      <w:r>
        <w:rPr>
          <w:rFonts w:hint="eastAsia" w:ascii="Times New Roman" w:hAnsi="Times New Roman" w:eastAsia="仿宋_GB2312" w:cs="Times New Roman"/>
          <w:color w:val="000000" w:themeColor="text1"/>
          <w:sz w:val="32"/>
          <w:szCs w:val="32"/>
          <w14:textFill>
            <w14:solidFill>
              <w14:schemeClr w14:val="tx1"/>
            </w14:solidFill>
          </w14:textFill>
        </w:rPr>
        <w:t>恢复，</w:t>
      </w:r>
      <w:r>
        <w:rPr>
          <w:rFonts w:hint="eastAsia" w:ascii="Times New Roman" w:hAnsi="Times New Roman" w:eastAsia="仿宋_GB2312" w:cs="Times New Roman"/>
          <w:kern w:val="0"/>
          <w:sz w:val="32"/>
          <w:szCs w:val="32"/>
          <w:lang w:val="en-US" w:eastAsia="zh-CN"/>
        </w:rPr>
        <w:t>治理</w:t>
      </w:r>
      <w:r>
        <w:rPr>
          <w:rFonts w:ascii="Times New Roman" w:hAnsi="Times New Roman" w:eastAsia="仿宋_GB2312" w:cs="Times New Roman"/>
          <w:kern w:val="0"/>
          <w:sz w:val="32"/>
          <w:szCs w:val="32"/>
        </w:rPr>
        <w:t>费用</w:t>
      </w:r>
      <w:r>
        <w:rPr>
          <w:rFonts w:hint="eastAsia" w:ascii="Times New Roman" w:hAnsi="Times New Roman" w:eastAsia="仿宋_GB2312" w:cs="Times New Roman"/>
          <w:kern w:val="0"/>
          <w:sz w:val="32"/>
          <w:szCs w:val="32"/>
        </w:rPr>
        <w:t>从</w:t>
      </w:r>
      <w:r>
        <w:rPr>
          <w:rFonts w:hint="eastAsia" w:ascii="Times New Roman" w:hAnsi="Times New Roman" w:eastAsia="仿宋_GB2312" w:cs="Times New Roman"/>
          <w:kern w:val="0"/>
          <w:sz w:val="32"/>
          <w:szCs w:val="32"/>
          <w:lang w:val="en-US" w:eastAsia="zh-CN"/>
        </w:rPr>
        <w:t>矿山企业</w:t>
      </w:r>
      <w:r>
        <w:rPr>
          <w:rFonts w:hint="eastAsia" w:ascii="Times New Roman" w:hAnsi="Times New Roman" w:eastAsia="仿宋_GB2312" w:cs="Times New Roman"/>
          <w:kern w:val="0"/>
          <w:sz w:val="32"/>
          <w:szCs w:val="32"/>
        </w:rPr>
        <w:t>提取的</w:t>
      </w:r>
      <w:r>
        <w:rPr>
          <w:rFonts w:ascii="Times New Roman" w:hAnsi="Times New Roman" w:eastAsia="仿宋_GB2312" w:cs="Times New Roman"/>
          <w:kern w:val="0"/>
          <w:sz w:val="32"/>
          <w:szCs w:val="32"/>
        </w:rPr>
        <w:t>基金</w:t>
      </w:r>
      <w:r>
        <w:rPr>
          <w:rFonts w:hint="eastAsia" w:ascii="Times New Roman" w:hAnsi="Times New Roman" w:eastAsia="仿宋_GB2312" w:cs="Times New Roman"/>
          <w:kern w:val="0"/>
          <w:sz w:val="32"/>
          <w:szCs w:val="32"/>
        </w:rPr>
        <w:t>中</w:t>
      </w:r>
      <w:r>
        <w:rPr>
          <w:rFonts w:hint="eastAsia" w:ascii="Times New Roman" w:hAnsi="Times New Roman" w:eastAsia="仿宋_GB2312" w:cs="Times New Roman"/>
          <w:kern w:val="0"/>
          <w:sz w:val="32"/>
          <w:szCs w:val="32"/>
          <w:lang w:val="en-US" w:eastAsia="zh-CN"/>
        </w:rPr>
        <w:t>支出</w:t>
      </w:r>
      <w:r>
        <w:rPr>
          <w:rFonts w:hint="eastAsia" w:ascii="Times New Roman" w:hAnsi="Times New Roman" w:eastAsia="仿宋_GB2312" w:cs="Times New Roman"/>
          <w:kern w:val="0"/>
          <w:sz w:val="32"/>
          <w:szCs w:val="32"/>
        </w:rPr>
        <w:t>，不足部分由</w:t>
      </w:r>
      <w:r>
        <w:rPr>
          <w:rFonts w:hint="eastAsia" w:ascii="Times New Roman" w:hAnsi="Times New Roman" w:eastAsia="仿宋_GB2312" w:cs="Times New Roman"/>
          <w:kern w:val="0"/>
          <w:sz w:val="32"/>
          <w:szCs w:val="32"/>
          <w:lang w:val="en-US" w:eastAsia="zh-CN"/>
        </w:rPr>
        <w:t>矿山企业</w:t>
      </w:r>
      <w:r>
        <w:rPr>
          <w:rFonts w:hint="eastAsia" w:ascii="Times New Roman" w:hAnsi="Times New Roman" w:eastAsia="仿宋_GB2312" w:cs="Times New Roman"/>
          <w:kern w:val="0"/>
          <w:sz w:val="32"/>
          <w:szCs w:val="32"/>
        </w:rPr>
        <w:t>承担</w:t>
      </w:r>
      <w:r>
        <w:rPr>
          <w:rFonts w:ascii="Times New Roman" w:hAnsi="Times New Roman" w:eastAsia="仿宋_GB2312" w:cs="Times New Roman"/>
          <w:kern w:val="0"/>
          <w:sz w:val="32"/>
          <w:szCs w:val="32"/>
        </w:rPr>
        <w:t>。</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hint="default" w:ascii="Times New Roman" w:hAnsi="黑体" w:eastAsia="黑体" w:cs="Times New Roman"/>
          <w:b w:val="0"/>
          <w:sz w:val="32"/>
          <w:szCs w:val="32"/>
          <w:lang w:val="en-US" w:eastAsia="zh-CN"/>
        </w:rPr>
      </w:pPr>
      <w:r>
        <w:rPr>
          <w:rFonts w:hint="eastAsia" w:ascii="Times New Roman" w:hAnsi="黑体" w:eastAsia="黑体" w:cs="Times New Roman"/>
          <w:b w:val="0"/>
          <w:sz w:val="32"/>
          <w:szCs w:val="32"/>
          <w:lang w:val="en-US" w:eastAsia="zh-CN"/>
        </w:rPr>
        <w:t>第六章 法律责任</w:t>
      </w:r>
    </w:p>
    <w:p>
      <w:pPr>
        <w:spacing w:line="58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 xml:space="preserve">二十九条 </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违反本办法，未</w:t>
      </w:r>
      <w:r>
        <w:rPr>
          <w:rFonts w:ascii="Times New Roman" w:hAnsi="Times New Roman" w:eastAsia="仿宋_GB2312" w:cs="Times New Roman"/>
          <w:color w:val="000000" w:themeColor="text1"/>
          <w:kern w:val="0"/>
          <w:sz w:val="32"/>
          <w:szCs w:val="32"/>
          <w14:textFill>
            <w14:solidFill>
              <w14:schemeClr w14:val="tx1"/>
            </w14:solidFill>
          </w14:textFill>
        </w:rPr>
        <w:t>按本办法提取、使用基金</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及填报</w:t>
      </w:r>
      <w:r>
        <w:rPr>
          <w:rFonts w:hint="eastAsia" w:ascii="Times New Roman" w:hAnsi="Times New Roman" w:eastAsia="仿宋_GB2312" w:cs="Times New Roman"/>
          <w:color w:val="000000" w:themeColor="text1"/>
          <w:kern w:val="0"/>
          <w:sz w:val="32"/>
          <w:szCs w:val="32"/>
          <w14:textFill>
            <w14:solidFill>
              <w14:schemeClr w14:val="tx1"/>
            </w14:solidFill>
          </w14:textFill>
        </w:rPr>
        <w:t>基金提取、使用情况</w:t>
      </w:r>
      <w:r>
        <w:rPr>
          <w:rFonts w:ascii="Times New Roman" w:hAnsi="Times New Roman" w:eastAsia="仿宋_GB2312" w:cs="Times New Roman"/>
          <w:color w:val="000000" w:themeColor="text1"/>
          <w:kern w:val="0"/>
          <w:sz w:val="32"/>
          <w:szCs w:val="32"/>
          <w14:textFill>
            <w14:solidFill>
              <w14:schemeClr w14:val="tx1"/>
            </w14:solidFill>
          </w14:textFill>
        </w:rPr>
        <w:t>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矿山企业</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依照《矿山地质环境保护规定》第二十八条有关规定，</w:t>
      </w:r>
      <w:r>
        <w:rPr>
          <w:rFonts w:hint="eastAsia" w:ascii="Times New Roman" w:hAnsi="Times New Roman" w:eastAsia="仿宋_GB2312" w:cs="Times New Roman"/>
          <w:color w:val="000000" w:themeColor="text1"/>
          <w:kern w:val="0"/>
          <w:sz w:val="32"/>
          <w:szCs w:val="32"/>
          <w14:textFill>
            <w14:solidFill>
              <w14:schemeClr w14:val="tx1"/>
            </w14:solidFill>
          </w14:textFill>
        </w:rPr>
        <w:t>由县级以上自然资源主管部门责令限期计提</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报送</w:t>
      </w:r>
      <w:r>
        <w:rPr>
          <w:rFonts w:hint="eastAsia" w:ascii="Times New Roman" w:hAnsi="Times New Roman" w:eastAsia="仿宋_GB2312" w:cs="Times New Roman"/>
          <w:color w:val="000000" w:themeColor="text1"/>
          <w:kern w:val="0"/>
          <w:sz w:val="32"/>
          <w:szCs w:val="32"/>
          <w14:textFill>
            <w14:solidFill>
              <w14:schemeClr w14:val="tx1"/>
            </w14:solidFill>
          </w14:textFill>
        </w:rPr>
        <w:t>；逾期不计提的，处3万元以下的罚款。颁发采矿许可证的自然资源主管部门不受理其采矿权延续变更申请</w:t>
      </w:r>
      <w:r>
        <w:rPr>
          <w:rFonts w:ascii="Times New Roman" w:hAnsi="Times New Roman" w:eastAsia="仿宋_GB2312" w:cs="Times New Roman"/>
          <w:color w:val="000000" w:themeColor="text1"/>
          <w:sz w:val="32"/>
          <w:szCs w:val="32"/>
          <w14:textFill>
            <w14:solidFill>
              <w14:schemeClr w14:val="tx1"/>
            </w14:solidFill>
          </w14:textFill>
        </w:rPr>
        <w:t>。</w:t>
      </w:r>
    </w:p>
    <w:p>
      <w:pPr>
        <w:spacing w:line="580" w:lineRule="exact"/>
        <w:ind w:firstLine="643"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三十</w:t>
      </w:r>
      <w:r>
        <w:rPr>
          <w:rFonts w:ascii="Times New Roman" w:hAnsi="Times New Roman" w:eastAsia="仿宋_GB2312" w:cs="Times New Roman"/>
          <w:b/>
          <w:kern w:val="0"/>
          <w:sz w:val="32"/>
          <w:szCs w:val="32"/>
        </w:rPr>
        <w:t xml:space="preserve">条 </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违反本办法，</w:t>
      </w:r>
      <w:r>
        <w:rPr>
          <w:rFonts w:hint="eastAsia" w:ascii="Times New Roman" w:hAnsi="Times New Roman" w:eastAsia="仿宋_GB2312" w:cs="Times New Roman"/>
          <w:color w:val="000000" w:themeColor="text1"/>
          <w:kern w:val="0"/>
          <w:sz w:val="32"/>
          <w:szCs w:val="32"/>
          <w14:textFill>
            <w14:solidFill>
              <w14:schemeClr w14:val="tx1"/>
            </w14:solidFill>
          </w14:textFill>
        </w:rPr>
        <w:t>未按</w:t>
      </w:r>
      <w:r>
        <w:rPr>
          <w:rFonts w:ascii="Times New Roman" w:hAnsi="Times New Roman" w:eastAsia="仿宋_GB2312" w:cs="Times New Roman"/>
          <w:color w:val="000000" w:themeColor="text1"/>
          <w:sz w:val="32"/>
          <w:szCs w:val="32"/>
          <w14:textFill>
            <w14:solidFill>
              <w14:schemeClr w14:val="tx1"/>
            </w14:solidFill>
          </w14:textFill>
        </w:rPr>
        <w:t>照</w:t>
      </w:r>
      <w:r>
        <w:rPr>
          <w:rFonts w:hint="eastAsia" w:ascii="Times New Roman" w:hAnsi="Times New Roman" w:eastAsia="仿宋_GB2312" w:cs="Times New Roman"/>
          <w:kern w:val="0"/>
          <w:sz w:val="32"/>
          <w:szCs w:val="32"/>
        </w:rPr>
        <w:t>《方案》</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和年度治理计划</w:t>
      </w:r>
      <w:r>
        <w:rPr>
          <w:rFonts w:ascii="Times New Roman" w:hAnsi="Times New Roman" w:eastAsia="仿宋_GB2312" w:cs="Times New Roman"/>
          <w:color w:val="000000" w:themeColor="text1"/>
          <w:sz w:val="32"/>
          <w:szCs w:val="32"/>
          <w14:textFill>
            <w14:solidFill>
              <w14:schemeClr w14:val="tx1"/>
            </w14:solidFill>
          </w14:textFill>
        </w:rPr>
        <w:t>开展治理恢复与土地复垦</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矿山企业</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依照《矿山地质环境保护规定》第二十七条有关规定，</w:t>
      </w:r>
      <w:r>
        <w:rPr>
          <w:rFonts w:hint="eastAsia" w:ascii="Times New Roman" w:hAnsi="Times New Roman" w:eastAsia="仿宋_GB2312" w:cs="Times New Roman"/>
          <w:color w:val="000000" w:themeColor="text1"/>
          <w:sz w:val="32"/>
          <w:szCs w:val="32"/>
          <w14:textFill>
            <w14:solidFill>
              <w14:schemeClr w14:val="tx1"/>
            </w14:solidFill>
          </w14:textFill>
        </w:rPr>
        <w:t>责令限期改正，</w:t>
      </w:r>
      <w:r>
        <w:rPr>
          <w:rFonts w:hint="eastAsia" w:ascii="Times New Roman" w:hAnsi="Times New Roman" w:eastAsia="仿宋_GB2312" w:cs="Times New Roman"/>
          <w:color w:val="auto"/>
          <w:sz w:val="32"/>
          <w:szCs w:val="32"/>
        </w:rPr>
        <w:t>并列入矿业权人异常名录或严重违法名单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spacing w:line="580" w:lineRule="exact"/>
        <w:ind w:firstLine="640" w:firstLineChars="200"/>
        <w:rPr>
          <w:rFonts w:ascii="Times New Roman" w:hAnsi="Times New Roman" w:eastAsia="仿宋_GB2312" w:cs="Times New Roman"/>
          <w:b/>
          <w:color w:val="auto"/>
          <w:kern w:val="0"/>
          <w:sz w:val="32"/>
          <w:szCs w:val="32"/>
          <w:highlight w:val="none"/>
        </w:rPr>
      </w:pPr>
      <w:r>
        <w:rPr>
          <w:rFonts w:hint="eastAsia" w:ascii="Times New Roman" w:hAnsi="Times New Roman" w:eastAsia="仿宋_GB2312" w:cs="Times New Roman"/>
          <w:color w:val="000000" w:themeColor="text1"/>
          <w:sz w:val="32"/>
          <w:szCs w:val="32"/>
          <w14:textFill>
            <w14:solidFill>
              <w14:schemeClr w14:val="tx1"/>
            </w14:solidFill>
          </w14:textFill>
        </w:rPr>
        <w:t>逾期拒不改正的或整改不到位的，</w:t>
      </w:r>
      <w:r>
        <w:rPr>
          <w:rFonts w:hint="eastAsia" w:ascii="Times New Roman" w:hAnsi="Times New Roman" w:eastAsia="仿宋_GB2312" w:cs="Times New Roman"/>
          <w:color w:val="auto"/>
          <w:sz w:val="32"/>
          <w:szCs w:val="32"/>
          <w:highlight w:val="none"/>
        </w:rPr>
        <w:t>处3万元以下的罚款，不受理其申请新的采矿权许可证或者申请采矿权许可证延续</w:t>
      </w:r>
      <w:r>
        <w:rPr>
          <w:rFonts w:hint="eastAsia" w:ascii="Times New Roman" w:hAnsi="Times New Roman" w:eastAsia="仿宋_GB2312" w:cs="Times New Roman"/>
          <w:color w:val="000000" w:themeColor="text1"/>
          <w:sz w:val="32"/>
          <w:szCs w:val="32"/>
          <w14:textFill>
            <w14:solidFill>
              <w14:schemeClr w14:val="tx1"/>
            </w14:solidFill>
          </w14:textFill>
        </w:rPr>
        <w:t>、变更、注销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市、县（区）人民政府或者其指定的有关部门、机构按照</w:t>
      </w:r>
      <w:r>
        <w:rPr>
          <w:rFonts w:hint="eastAsia" w:ascii="Times New Roman" w:hAnsi="Times New Roman" w:eastAsia="仿宋_GB2312" w:cs="Times New Roman"/>
          <w:strike w:val="0"/>
          <w:dstrike w:val="0"/>
          <w:color w:val="auto"/>
          <w:sz w:val="32"/>
          <w:szCs w:val="32"/>
          <w:highlight w:val="none"/>
          <w:lang w:val="en-US" w:eastAsia="zh-CN"/>
        </w:rPr>
        <w:t>《生态环境损害赔偿管理规定》，要求矿山企业就</w:t>
      </w:r>
      <w:r>
        <w:rPr>
          <w:rFonts w:ascii="Times New Roman" w:hAnsi="Times New Roman" w:eastAsia="仿宋_GB2312" w:cs="Times New Roman"/>
          <w:strike w:val="0"/>
          <w:dstrike w:val="0"/>
          <w:color w:val="auto"/>
          <w:sz w:val="32"/>
          <w:szCs w:val="32"/>
          <w:highlight w:val="none"/>
        </w:rPr>
        <w:t>破坏</w:t>
      </w:r>
      <w:r>
        <w:rPr>
          <w:rFonts w:hint="eastAsia" w:ascii="Times New Roman" w:hAnsi="Times New Roman" w:eastAsia="仿宋_GB2312" w:cs="Times New Roman"/>
          <w:strike w:val="0"/>
          <w:dstrike w:val="0"/>
          <w:color w:val="auto"/>
          <w:sz w:val="32"/>
          <w:szCs w:val="32"/>
          <w:highlight w:val="none"/>
        </w:rPr>
        <w:t>矿山地质</w:t>
      </w:r>
      <w:r>
        <w:rPr>
          <w:rFonts w:ascii="Times New Roman" w:hAnsi="Times New Roman" w:eastAsia="仿宋_GB2312" w:cs="Times New Roman"/>
          <w:strike w:val="0"/>
          <w:dstrike w:val="0"/>
          <w:color w:val="auto"/>
          <w:sz w:val="32"/>
          <w:szCs w:val="32"/>
          <w:highlight w:val="none"/>
        </w:rPr>
        <w:t>环境</w:t>
      </w:r>
      <w:r>
        <w:rPr>
          <w:rFonts w:hint="eastAsia" w:ascii="Times New Roman" w:hAnsi="Times New Roman" w:eastAsia="仿宋_GB2312" w:cs="Times New Roman"/>
          <w:strike w:val="0"/>
          <w:dstrike w:val="0"/>
          <w:color w:val="auto"/>
          <w:sz w:val="32"/>
          <w:szCs w:val="32"/>
          <w:highlight w:val="none"/>
          <w:lang w:val="en-US" w:eastAsia="zh-CN"/>
        </w:rPr>
        <w:t>和损毁土地</w:t>
      </w:r>
      <w:r>
        <w:rPr>
          <w:rFonts w:ascii="Times New Roman" w:hAnsi="Times New Roman" w:eastAsia="仿宋_GB2312" w:cs="Times New Roman"/>
          <w:strike w:val="0"/>
          <w:dstrike w:val="0"/>
          <w:color w:val="auto"/>
          <w:sz w:val="32"/>
          <w:szCs w:val="32"/>
          <w:highlight w:val="none"/>
        </w:rPr>
        <w:t>的行为</w:t>
      </w:r>
      <w:r>
        <w:rPr>
          <w:rFonts w:hint="eastAsia" w:ascii="Times New Roman" w:hAnsi="Times New Roman" w:eastAsia="仿宋_GB2312" w:cs="Times New Roman"/>
          <w:strike w:val="0"/>
          <w:dstrike w:val="0"/>
          <w:color w:val="auto"/>
          <w:sz w:val="32"/>
          <w:szCs w:val="32"/>
          <w:highlight w:val="none"/>
          <w:lang w:val="en-US" w:eastAsia="zh-CN"/>
        </w:rPr>
        <w:t>承担生态环境损害赔偿责任</w:t>
      </w:r>
      <w:r>
        <w:rPr>
          <w:rFonts w:hint="eastAsia" w:ascii="Times New Roman" w:hAnsi="Times New Roman" w:eastAsia="仿宋_GB2312" w:cs="Times New Roman"/>
          <w:strike w:val="0"/>
          <w:dstrike w:val="0"/>
          <w:color w:val="auto"/>
          <w:sz w:val="32"/>
          <w:szCs w:val="32"/>
          <w:highlight w:val="none"/>
        </w:rPr>
        <w:t>。</w:t>
      </w:r>
    </w:p>
    <w:p>
      <w:pPr>
        <w:spacing w:line="580" w:lineRule="exact"/>
        <w:ind w:firstLine="643"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val="en-US" w:eastAsia="zh-CN"/>
        </w:rPr>
        <w:t>第三十一条</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县级</w:t>
      </w:r>
      <w:r>
        <w:rPr>
          <w:rFonts w:hint="eastAsia" w:ascii="Times New Roman" w:hAnsi="Times New Roman" w:eastAsia="仿宋_GB2312" w:cs="Times New Roman"/>
          <w:kern w:val="0"/>
          <w:sz w:val="32"/>
          <w:szCs w:val="32"/>
          <w:lang w:val="en-US" w:eastAsia="zh-CN"/>
        </w:rPr>
        <w:t>及</w:t>
      </w:r>
      <w:r>
        <w:rPr>
          <w:rFonts w:hint="eastAsia" w:ascii="Times New Roman" w:hAnsi="Times New Roman" w:eastAsia="仿宋_GB2312" w:cs="Times New Roman"/>
          <w:kern w:val="0"/>
          <w:sz w:val="32"/>
          <w:szCs w:val="32"/>
        </w:rPr>
        <w:t>以上自然资源</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财政、生态环境</w:t>
      </w:r>
      <w:r>
        <w:rPr>
          <w:rFonts w:hint="eastAsia" w:ascii="Times New Roman" w:hAnsi="Times New Roman" w:eastAsia="仿宋_GB2312" w:cs="Times New Roman"/>
          <w:kern w:val="0"/>
          <w:sz w:val="32"/>
          <w:szCs w:val="32"/>
        </w:rPr>
        <w:t>主管部门工作人员在矿山地质环境治理恢复</w:t>
      </w:r>
      <w:r>
        <w:rPr>
          <w:rFonts w:hint="eastAsia" w:ascii="Times New Roman" w:hAnsi="Times New Roman" w:eastAsia="仿宋_GB2312" w:cs="Times New Roman"/>
          <w:kern w:val="0"/>
          <w:sz w:val="32"/>
          <w:szCs w:val="32"/>
          <w:lang w:val="en-US" w:eastAsia="zh-CN"/>
        </w:rPr>
        <w:t>和基金</w:t>
      </w:r>
      <w:r>
        <w:rPr>
          <w:rFonts w:hint="eastAsia" w:ascii="Times New Roman" w:hAnsi="Times New Roman" w:eastAsia="仿宋_GB2312" w:cs="Times New Roman"/>
          <w:kern w:val="0"/>
          <w:sz w:val="32"/>
          <w:szCs w:val="32"/>
        </w:rPr>
        <w:t>监督管理中玩忽职守、滥用职权、徇私舞弊的，</w:t>
      </w:r>
      <w:r>
        <w:rPr>
          <w:rFonts w:hint="eastAsia" w:ascii="Times New Roman" w:hAnsi="Times New Roman" w:eastAsia="仿宋_GB2312" w:cs="Times New Roman"/>
          <w:kern w:val="0"/>
          <w:sz w:val="32"/>
          <w:szCs w:val="32"/>
          <w:lang w:val="en-US" w:eastAsia="zh-CN"/>
        </w:rPr>
        <w:t>对相关责任人依法给予处分；构</w:t>
      </w:r>
      <w:r>
        <w:rPr>
          <w:rFonts w:hint="eastAsia" w:ascii="Times New Roman" w:hAnsi="Times New Roman" w:eastAsia="仿宋_GB2312" w:cs="Times New Roman"/>
          <w:kern w:val="0"/>
          <w:sz w:val="32"/>
          <w:szCs w:val="32"/>
        </w:rPr>
        <w:t>成犯罪的，依法追究刑事责任。</w:t>
      </w:r>
    </w:p>
    <w:p>
      <w:pPr>
        <w:pStyle w:val="2"/>
        <w:keepNext w:val="0"/>
        <w:keepLines w:val="0"/>
        <w:spacing w:before="0" w:after="0" w:line="580" w:lineRule="exact"/>
        <w:jc w:val="center"/>
        <w:rPr>
          <w:rFonts w:ascii="Times New Roman" w:hAnsi="Times New Roman" w:eastAsia="黑体" w:cs="Times New Roman"/>
          <w:b w:val="0"/>
          <w:sz w:val="32"/>
          <w:szCs w:val="32"/>
        </w:rPr>
      </w:pPr>
      <w:bookmarkStart w:id="4" w:name="_Toc482136640"/>
      <w:r>
        <w:rPr>
          <w:rFonts w:hint="eastAsia" w:ascii="Times New Roman" w:hAnsi="黑体" w:eastAsia="黑体" w:cs="Times New Roman"/>
          <w:b w:val="0"/>
          <w:sz w:val="32"/>
          <w:szCs w:val="32"/>
        </w:rPr>
        <w:t>第</w:t>
      </w:r>
      <w:r>
        <w:rPr>
          <w:rFonts w:hint="eastAsia" w:ascii="Times New Roman" w:hAnsi="黑体" w:eastAsia="黑体" w:cs="Times New Roman"/>
          <w:b w:val="0"/>
          <w:sz w:val="32"/>
          <w:szCs w:val="32"/>
          <w:lang w:val="en-US" w:eastAsia="zh-CN"/>
        </w:rPr>
        <w:t>八</w:t>
      </w:r>
      <w:r>
        <w:rPr>
          <w:rFonts w:hint="eastAsia" w:ascii="Times New Roman" w:hAnsi="黑体" w:eastAsia="黑体" w:cs="Times New Roman"/>
          <w:b w:val="0"/>
          <w:sz w:val="32"/>
          <w:szCs w:val="32"/>
        </w:rPr>
        <w:t xml:space="preserve">章  </w:t>
      </w:r>
      <w:r>
        <w:rPr>
          <w:rFonts w:ascii="Times New Roman" w:hAnsi="黑体" w:eastAsia="黑体" w:cs="Times New Roman"/>
          <w:b w:val="0"/>
          <w:sz w:val="32"/>
          <w:szCs w:val="32"/>
        </w:rPr>
        <w:t>附则</w:t>
      </w:r>
      <w:bookmarkEnd w:id="4"/>
    </w:p>
    <w:p>
      <w:pPr>
        <w:spacing w:line="580" w:lineRule="exact"/>
        <w:ind w:firstLine="42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kern w:val="0"/>
          <w:sz w:val="32"/>
          <w:szCs w:val="32"/>
          <w:lang w:val="en-US" w:eastAsia="zh-CN"/>
        </w:rPr>
        <w:t>三十二</w:t>
      </w:r>
      <w:r>
        <w:rPr>
          <w:rFonts w:ascii="Times New Roman" w:hAnsi="Times New Roman" w:eastAsia="仿宋_GB2312" w:cs="Times New Roman"/>
          <w:b/>
          <w:kern w:val="0"/>
          <w:sz w:val="32"/>
          <w:szCs w:val="32"/>
        </w:rPr>
        <w:t xml:space="preserve">条 </w:t>
      </w:r>
      <w:r>
        <w:rPr>
          <w:rFonts w:ascii="Times New Roman" w:hAnsi="Times New Roman" w:eastAsia="仿宋_GB2312" w:cs="Times New Roman"/>
          <w:kern w:val="0"/>
          <w:sz w:val="32"/>
          <w:szCs w:val="32"/>
        </w:rPr>
        <w:t>本办法由陕西省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自然</w:t>
      </w:r>
      <w:r>
        <w:rPr>
          <w:rFonts w:ascii="Times New Roman" w:hAnsi="Times New Roman" w:eastAsia="仿宋_GB2312" w:cs="Times New Roman"/>
          <w:color w:val="000000" w:themeColor="text1"/>
          <w:sz w:val="32"/>
          <w:szCs w:val="32"/>
          <w14:textFill>
            <w14:solidFill>
              <w14:schemeClr w14:val="tx1"/>
            </w14:solidFill>
          </w14:textFill>
        </w:rPr>
        <w:t>资源厅</w:t>
      </w:r>
      <w:r>
        <w:rPr>
          <w:rFonts w:hint="eastAsia" w:ascii="Times New Roman" w:hAnsi="Times New Roman" w:eastAsia="仿宋_GB2312" w:cs="Times New Roman"/>
          <w:color w:val="000000" w:themeColor="text1"/>
          <w:sz w:val="32"/>
          <w:szCs w:val="32"/>
          <w14:textFill>
            <w14:solidFill>
              <w14:schemeClr w14:val="tx1"/>
            </w14:solidFill>
          </w14:textFill>
        </w:rPr>
        <w:t>会同陕西</w:t>
      </w:r>
      <w:r>
        <w:rPr>
          <w:rFonts w:ascii="Times New Roman" w:hAnsi="Times New Roman" w:eastAsia="仿宋_GB2312" w:cs="Times New Roman"/>
          <w:color w:val="000000" w:themeColor="text1"/>
          <w:sz w:val="32"/>
          <w:szCs w:val="32"/>
          <w14:textFill>
            <w14:solidFill>
              <w14:schemeClr w14:val="tx1"/>
            </w14:solidFill>
          </w14:textFill>
        </w:rPr>
        <w:t>省财政厅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陕西省生态环境厅</w:t>
      </w:r>
      <w:r>
        <w:rPr>
          <w:rFonts w:ascii="Times New Roman" w:hAnsi="Times New Roman" w:eastAsia="仿宋_GB2312" w:cs="Times New Roman"/>
          <w:color w:val="000000" w:themeColor="text1"/>
          <w:sz w:val="32"/>
          <w:szCs w:val="32"/>
          <w14:textFill>
            <w14:solidFill>
              <w14:schemeClr w14:val="tx1"/>
            </w14:solidFill>
          </w14:textFill>
        </w:rPr>
        <w:t>负责解释。</w:t>
      </w:r>
    </w:p>
    <w:p>
      <w:pPr>
        <w:spacing w:line="580" w:lineRule="exact"/>
        <w:ind w:firstLine="42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b/>
          <w:color w:val="auto"/>
          <w:kern w:val="0"/>
          <w:sz w:val="32"/>
          <w:szCs w:val="32"/>
        </w:rPr>
        <w:t>第</w:t>
      </w:r>
      <w:r>
        <w:rPr>
          <w:rFonts w:hint="eastAsia" w:ascii="Times New Roman" w:hAnsi="Times New Roman" w:eastAsia="仿宋_GB2312" w:cs="Times New Roman"/>
          <w:b/>
          <w:color w:val="auto"/>
          <w:kern w:val="0"/>
          <w:sz w:val="32"/>
          <w:szCs w:val="32"/>
          <w:lang w:val="en-US" w:eastAsia="zh-CN"/>
        </w:rPr>
        <w:t>三十三</w:t>
      </w:r>
      <w:r>
        <w:rPr>
          <w:rFonts w:ascii="Times New Roman" w:hAnsi="Times New Roman" w:eastAsia="仿宋_GB2312" w:cs="Times New Roman"/>
          <w:b/>
          <w:color w:val="auto"/>
          <w:kern w:val="0"/>
          <w:sz w:val="32"/>
          <w:szCs w:val="32"/>
        </w:rPr>
        <w:t xml:space="preserve">条 </w:t>
      </w:r>
      <w:r>
        <w:rPr>
          <w:rFonts w:ascii="Times New Roman" w:hAnsi="Times New Roman" w:eastAsia="仿宋_GB2312" w:cs="Times New Roman"/>
          <w:color w:val="auto"/>
          <w:kern w:val="0"/>
          <w:sz w:val="32"/>
          <w:szCs w:val="32"/>
        </w:rPr>
        <w:t>本办法自</w:t>
      </w:r>
      <w:r>
        <w:rPr>
          <w:rFonts w:hint="eastAsia" w:ascii="Times New Roman" w:hAnsi="Times New Roman" w:eastAsia="仿宋_GB2312" w:cs="Times New Roman"/>
          <w:color w:val="auto"/>
          <w:kern w:val="0"/>
          <w:sz w:val="32"/>
          <w:szCs w:val="32"/>
        </w:rPr>
        <w:t>印发之日</w:t>
      </w:r>
      <w:r>
        <w:rPr>
          <w:rFonts w:ascii="Times New Roman" w:hAnsi="Times New Roman" w:eastAsia="仿宋_GB2312" w:cs="Times New Roman"/>
          <w:color w:val="auto"/>
          <w:kern w:val="0"/>
          <w:sz w:val="32"/>
          <w:szCs w:val="32"/>
        </w:rPr>
        <w:t>起施行</w:t>
      </w:r>
      <w:r>
        <w:rPr>
          <w:rFonts w:hint="eastAsia" w:ascii="Times New Roman" w:hAnsi="Times New Roman" w:eastAsia="仿宋_GB2312" w:cs="Times New Roman"/>
          <w:color w:val="auto"/>
          <w:kern w:val="0"/>
          <w:sz w:val="32"/>
          <w:szCs w:val="32"/>
        </w:rPr>
        <w:t>，有效期为5年。</w:t>
      </w:r>
      <w:r>
        <w:rPr>
          <w:rFonts w:hint="eastAsia" w:ascii="Times New Roman" w:hAnsi="Times New Roman" w:eastAsia="仿宋_GB2312" w:cs="Times New Roman"/>
          <w:color w:val="auto"/>
          <w:kern w:val="0"/>
          <w:sz w:val="32"/>
          <w:szCs w:val="32"/>
          <w:lang w:val="en-US" w:eastAsia="zh-CN"/>
        </w:rPr>
        <w:t>原陕西省国土资源厅、陕西省财政厅、原陕西省环境保护厅</w:t>
      </w:r>
      <w:r>
        <w:rPr>
          <w:rFonts w:hint="eastAsia" w:ascii="Times New Roman" w:hAnsi="Times New Roman" w:eastAsia="仿宋_GB2312" w:cs="Times New Roman"/>
          <w:color w:val="auto"/>
          <w:kern w:val="0"/>
          <w:sz w:val="32"/>
          <w:szCs w:val="32"/>
        </w:rPr>
        <w:t>《陕西省矿山地质环境治理恢复与土地复垦基金实施办法》</w:t>
      </w:r>
      <w:r>
        <w:rPr>
          <w:rFonts w:hint="eastAsia" w:ascii="Times New Roman" w:hAnsi="Times New Roman" w:eastAsia="仿宋_GB2312" w:cs="Times New Roman"/>
          <w:color w:val="auto"/>
          <w:kern w:val="0"/>
          <w:sz w:val="32"/>
          <w:szCs w:val="32"/>
          <w:lang w:eastAsia="zh-CN"/>
        </w:rPr>
        <w:t>（陕国土资发〔2018〕92 号）</w:t>
      </w:r>
      <w:r>
        <w:rPr>
          <w:rFonts w:hint="eastAsia" w:ascii="Times New Roman" w:hAnsi="Times New Roman" w:eastAsia="仿宋_GB2312" w:cs="Times New Roman"/>
          <w:color w:val="auto"/>
          <w:kern w:val="0"/>
          <w:sz w:val="32"/>
          <w:szCs w:val="32"/>
          <w:lang w:val="en-US" w:eastAsia="zh-CN"/>
        </w:rPr>
        <w:t>同时废止。</w:t>
      </w:r>
    </w:p>
    <w:p>
      <w:pPr>
        <w:widowControl/>
        <w:spacing w:line="600" w:lineRule="exact"/>
        <w:jc w:val="left"/>
        <w:rPr>
          <w:rFonts w:ascii="黑体" w:hAnsi="黑体" w:eastAsia="黑体" w:cs="Times New Roman"/>
          <w:kern w:val="0"/>
          <w:sz w:val="32"/>
          <w:szCs w:val="32"/>
        </w:rPr>
      </w:pPr>
      <w:r>
        <w:rPr>
          <w:rFonts w:ascii="Times New Roman" w:hAnsi="Times New Roman" w:eastAsia="仿宋_GB2312" w:cs="Times New Roman"/>
          <w:color w:val="0000FF"/>
          <w:kern w:val="0"/>
          <w:sz w:val="30"/>
          <w:szCs w:val="30"/>
        </w:rPr>
        <w:br w:type="page"/>
      </w:r>
      <w:r>
        <w:rPr>
          <w:rFonts w:ascii="黑体" w:hAnsi="黑体" w:eastAsia="黑体" w:cs="Times New Roman"/>
          <w:kern w:val="0"/>
          <w:sz w:val="32"/>
          <w:szCs w:val="32"/>
        </w:rPr>
        <w:t>附件</w:t>
      </w:r>
    </w:p>
    <w:p>
      <w:pPr>
        <w:widowControl/>
        <w:spacing w:line="600" w:lineRule="exact"/>
        <w:jc w:val="left"/>
        <w:rPr>
          <w:rFonts w:ascii="方正小标宋_GBK" w:hAnsi="黑体" w:eastAsia="方正小标宋_GBK" w:cs="Times New Roman"/>
          <w:kern w:val="0"/>
          <w:sz w:val="44"/>
          <w:szCs w:val="44"/>
        </w:rPr>
      </w:pPr>
      <w:r>
        <w:rPr>
          <w:rFonts w:ascii="黑体" w:hAnsi="黑体" w:eastAsia="黑体" w:cs="Times New Roman"/>
          <w:kern w:val="0"/>
          <w:sz w:val="32"/>
          <w:szCs w:val="32"/>
        </w:rPr>
        <w:t xml:space="preserve">                 </w:t>
      </w:r>
      <w:r>
        <w:rPr>
          <w:rFonts w:hint="eastAsia" w:ascii="方正小标宋_GBK" w:hAnsi="黑体" w:eastAsia="方正小标宋_GBK" w:cs="Times New Roman"/>
          <w:kern w:val="0"/>
          <w:sz w:val="44"/>
          <w:szCs w:val="44"/>
        </w:rPr>
        <w:t>基金计提计算方法</w:t>
      </w:r>
    </w:p>
    <w:p>
      <w:pPr>
        <w:widowControl/>
        <w:spacing w:line="600" w:lineRule="exact"/>
        <w:jc w:val="left"/>
        <w:rPr>
          <w:rFonts w:ascii="黑体" w:hAnsi="黑体" w:eastAsia="黑体" w:cs="Times New Roman"/>
          <w:kern w:val="0"/>
          <w:sz w:val="32"/>
          <w:szCs w:val="32"/>
        </w:rPr>
      </w:pPr>
    </w:p>
    <w:p>
      <w:pPr>
        <w:spacing w:line="600" w:lineRule="exact"/>
        <w:ind w:firstLine="42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基金计提数额=原矿月销售收入×矿种系数×开采系数×地区系数。</w:t>
      </w:r>
    </w:p>
    <w:p>
      <w:pPr>
        <w:widowControl/>
        <w:snapToGrid w:val="0"/>
        <w:spacing w:line="60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一、矿种系数</w:t>
      </w:r>
    </w:p>
    <w:p>
      <w:pPr>
        <w:widowControl/>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基金计提的</w:t>
      </w:r>
      <w:r>
        <w:rPr>
          <w:rFonts w:ascii="Times New Roman" w:hAnsi="Times New Roman" w:eastAsia="仿宋_GB2312" w:cs="Times New Roman"/>
          <w:kern w:val="0"/>
          <w:sz w:val="32"/>
          <w:szCs w:val="32"/>
        </w:rPr>
        <w:t>矿种系数见表1。</w:t>
      </w:r>
    </w:p>
    <w:p>
      <w:pPr>
        <w:spacing w:line="600" w:lineRule="exact"/>
        <w:jc w:val="center"/>
        <w:rPr>
          <w:rFonts w:ascii="Times New Roman" w:hAnsi="仿宋" w:eastAsia="仿宋" w:cs="Times New Roman"/>
          <w:b/>
          <w:kern w:val="0"/>
          <w:sz w:val="28"/>
          <w:szCs w:val="28"/>
        </w:rPr>
      </w:pPr>
      <w:r>
        <w:rPr>
          <w:rFonts w:ascii="Times New Roman" w:hAnsi="仿宋" w:eastAsia="仿宋" w:cs="Times New Roman"/>
          <w:b/>
          <w:kern w:val="0"/>
          <w:sz w:val="28"/>
          <w:szCs w:val="28"/>
        </w:rPr>
        <w:t>表1  基金计提矿种系数一览表</w:t>
      </w:r>
    </w:p>
    <w:tbl>
      <w:tblPr>
        <w:tblStyle w:val="11"/>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5187"/>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91" w:type="dxa"/>
            <w:vAlign w:val="center"/>
          </w:tcPr>
          <w:p>
            <w:pPr>
              <w:spacing w:line="440" w:lineRule="exact"/>
              <w:jc w:val="center"/>
              <w:rPr>
                <w:rFonts w:ascii="Times New Roman" w:hAnsi="Times New Roman" w:eastAsia="仿宋" w:cs="Times New Roman"/>
                <w:b/>
                <w:kern w:val="0"/>
                <w:sz w:val="24"/>
                <w:szCs w:val="24"/>
              </w:rPr>
            </w:pPr>
            <w:r>
              <w:rPr>
                <w:rFonts w:ascii="Times New Roman" w:hAnsi="仿宋" w:eastAsia="仿宋" w:cs="Times New Roman"/>
                <w:b/>
                <w:kern w:val="0"/>
                <w:sz w:val="24"/>
                <w:szCs w:val="24"/>
              </w:rPr>
              <w:t>矿产</w:t>
            </w:r>
          </w:p>
        </w:tc>
        <w:tc>
          <w:tcPr>
            <w:tcW w:w="5187" w:type="dxa"/>
            <w:vAlign w:val="center"/>
          </w:tcPr>
          <w:p>
            <w:pPr>
              <w:spacing w:line="440" w:lineRule="exact"/>
              <w:jc w:val="center"/>
              <w:rPr>
                <w:rFonts w:ascii="Times New Roman" w:hAnsi="Times New Roman" w:eastAsia="仿宋" w:cs="Times New Roman"/>
                <w:b/>
                <w:kern w:val="0"/>
                <w:sz w:val="24"/>
                <w:szCs w:val="24"/>
              </w:rPr>
            </w:pPr>
            <w:r>
              <w:rPr>
                <w:rFonts w:ascii="Times New Roman" w:hAnsi="仿宋" w:eastAsia="仿宋" w:cs="Times New Roman"/>
                <w:b/>
                <w:kern w:val="0"/>
                <w:sz w:val="24"/>
                <w:szCs w:val="24"/>
              </w:rPr>
              <w:t>矿种</w:t>
            </w:r>
          </w:p>
        </w:tc>
        <w:tc>
          <w:tcPr>
            <w:tcW w:w="1922" w:type="dxa"/>
            <w:vAlign w:val="center"/>
          </w:tcPr>
          <w:p>
            <w:pPr>
              <w:spacing w:line="440" w:lineRule="exact"/>
              <w:jc w:val="center"/>
              <w:rPr>
                <w:rFonts w:ascii="Times New Roman" w:hAnsi="Times New Roman" w:eastAsia="仿宋" w:cs="Times New Roman"/>
                <w:b/>
                <w:kern w:val="0"/>
                <w:sz w:val="24"/>
                <w:szCs w:val="24"/>
              </w:rPr>
            </w:pPr>
            <w:r>
              <w:rPr>
                <w:rFonts w:ascii="Times New Roman" w:hAnsi="仿宋" w:eastAsia="仿宋" w:cs="Times New Roman"/>
                <w:b/>
                <w:kern w:val="0"/>
                <w:sz w:val="24"/>
                <w:szCs w:val="24"/>
              </w:rPr>
              <w:t>矿种系数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91" w:type="dxa"/>
            <w:vMerge w:val="restart"/>
            <w:vAlign w:val="center"/>
          </w:tcPr>
          <w:p>
            <w:pPr>
              <w:widowControl/>
              <w:spacing w:line="4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能源矿产</w:t>
            </w:r>
          </w:p>
        </w:tc>
        <w:tc>
          <w:tcPr>
            <w:tcW w:w="5187" w:type="dxa"/>
            <w:vAlign w:val="center"/>
          </w:tcPr>
          <w:p>
            <w:pPr>
              <w:spacing w:line="440" w:lineRule="exact"/>
              <w:jc w:val="center"/>
              <w:rPr>
                <w:rFonts w:hint="eastAsia"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rPr>
              <w:t>煤炭</w:t>
            </w:r>
            <w:r>
              <w:rPr>
                <w:rFonts w:hint="eastAsia" w:ascii="Times New Roman" w:hAnsi="仿宋" w:eastAsia="仿宋" w:cs="Times New Roman"/>
                <w:kern w:val="0"/>
                <w:sz w:val="24"/>
                <w:szCs w:val="24"/>
                <w:lang w:val="en-US" w:eastAsia="zh-CN"/>
              </w:rPr>
              <w:t xml:space="preserve"> 煤炭价格≤300元/吨</w:t>
            </w:r>
          </w:p>
          <w:p>
            <w:pPr>
              <w:spacing w:line="440" w:lineRule="exact"/>
              <w:jc w:val="center"/>
              <w:rPr>
                <w:rFonts w:hint="eastAsia"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300元/吨＜煤炭价格＜600元/吨</w:t>
            </w:r>
          </w:p>
          <w:p>
            <w:pPr>
              <w:spacing w:line="440" w:lineRule="exact"/>
              <w:jc w:val="center"/>
              <w:rPr>
                <w:rFonts w:hint="eastAsia"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煤炭价格≥600元/吨</w:t>
            </w:r>
          </w:p>
        </w:tc>
        <w:tc>
          <w:tcPr>
            <w:tcW w:w="1922" w:type="dxa"/>
            <w:vAlign w:val="center"/>
          </w:tcPr>
          <w:p>
            <w:pPr>
              <w:spacing w:line="4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1.8%</w:t>
            </w:r>
          </w:p>
          <w:p>
            <w:pPr>
              <w:spacing w:line="440" w:lineRule="exact"/>
              <w:jc w:val="center"/>
              <w:rPr>
                <w:rFonts w:hint="eastAsia" w:ascii="Times New Roman" w:hAnsi="仿宋" w:eastAsia="仿宋" w:cs="Times New Roman"/>
                <w:kern w:val="0"/>
                <w:sz w:val="24"/>
                <w:szCs w:val="24"/>
              </w:rPr>
            </w:pPr>
            <w:r>
              <w:rPr>
                <w:rFonts w:hint="eastAsia" w:ascii="Times New Roman" w:hAnsi="仿宋" w:eastAsia="仿宋" w:cs="Times New Roman"/>
                <w:kern w:val="0"/>
                <w:sz w:val="24"/>
                <w:szCs w:val="24"/>
              </w:rPr>
              <w:t>1.</w:t>
            </w:r>
            <w:r>
              <w:rPr>
                <w:rFonts w:hint="eastAsia" w:ascii="Times New Roman" w:hAnsi="仿宋" w:eastAsia="仿宋" w:cs="Times New Roman"/>
                <w:kern w:val="0"/>
                <w:sz w:val="24"/>
                <w:szCs w:val="24"/>
                <w:lang w:val="en-US" w:eastAsia="zh-CN"/>
              </w:rPr>
              <w:t>4</w:t>
            </w:r>
            <w:r>
              <w:rPr>
                <w:rFonts w:hint="eastAsia" w:ascii="Times New Roman" w:hAnsi="仿宋" w:eastAsia="仿宋" w:cs="Times New Roman"/>
                <w:kern w:val="0"/>
                <w:sz w:val="24"/>
                <w:szCs w:val="24"/>
              </w:rPr>
              <w:t>%</w:t>
            </w:r>
          </w:p>
          <w:p>
            <w:pPr>
              <w:spacing w:line="4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91" w:type="dxa"/>
            <w:vMerge w:val="continue"/>
            <w:vAlign w:val="center"/>
          </w:tcPr>
          <w:p>
            <w:pPr>
              <w:widowControl/>
              <w:spacing w:line="440" w:lineRule="exact"/>
              <w:jc w:val="center"/>
              <w:rPr>
                <w:rFonts w:ascii="Times New Roman" w:hAnsi="仿宋" w:eastAsia="仿宋" w:cs="Times New Roman"/>
                <w:kern w:val="0"/>
                <w:sz w:val="24"/>
                <w:szCs w:val="24"/>
              </w:rPr>
            </w:pPr>
          </w:p>
        </w:tc>
        <w:tc>
          <w:tcPr>
            <w:tcW w:w="5187" w:type="dxa"/>
            <w:vAlign w:val="center"/>
          </w:tcPr>
          <w:p>
            <w:pPr>
              <w:spacing w:line="440" w:lineRule="exact"/>
              <w:jc w:val="center"/>
              <w:rPr>
                <w:rFonts w:ascii="Times New Roman" w:hAnsi="仿宋" w:eastAsia="仿宋" w:cs="Times New Roman"/>
                <w:color w:val="auto"/>
                <w:kern w:val="0"/>
                <w:sz w:val="24"/>
                <w:szCs w:val="24"/>
              </w:rPr>
            </w:pPr>
            <w:r>
              <w:rPr>
                <w:rFonts w:ascii="Times New Roman" w:hAnsi="仿宋" w:eastAsia="仿宋" w:cs="Times New Roman"/>
                <w:color w:val="auto"/>
                <w:kern w:val="0"/>
                <w:sz w:val="24"/>
                <w:szCs w:val="24"/>
              </w:rPr>
              <w:t>油页岩</w:t>
            </w:r>
            <w:r>
              <w:rPr>
                <w:rFonts w:ascii="Times New Roman" w:hAnsi="仿宋" w:eastAsia="仿宋" w:cs="Times New Roman"/>
                <w:color w:val="auto"/>
                <w:kern w:val="0"/>
                <w:sz w:val="24"/>
                <w:szCs w:val="24"/>
                <w:highlight w:val="none"/>
              </w:rPr>
              <w:t>、石油</w:t>
            </w:r>
          </w:p>
        </w:tc>
        <w:tc>
          <w:tcPr>
            <w:tcW w:w="1922" w:type="dxa"/>
            <w:vAlign w:val="center"/>
          </w:tcPr>
          <w:p>
            <w:pPr>
              <w:spacing w:line="440" w:lineRule="exact"/>
              <w:jc w:val="center"/>
              <w:rPr>
                <w:rFonts w:hint="default"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91" w:type="dxa"/>
            <w:vMerge w:val="continue"/>
            <w:vAlign w:val="center"/>
          </w:tcPr>
          <w:p>
            <w:pPr>
              <w:spacing w:line="440" w:lineRule="exact"/>
              <w:jc w:val="center"/>
              <w:rPr>
                <w:rFonts w:ascii="Times New Roman" w:hAnsi="Times New Roman" w:eastAsia="仿宋" w:cs="Times New Roman"/>
                <w:kern w:val="0"/>
                <w:sz w:val="24"/>
                <w:szCs w:val="24"/>
              </w:rPr>
            </w:pPr>
          </w:p>
        </w:tc>
        <w:tc>
          <w:tcPr>
            <w:tcW w:w="5187" w:type="dxa"/>
            <w:vAlign w:val="center"/>
          </w:tcPr>
          <w:p>
            <w:pPr>
              <w:spacing w:line="440" w:lineRule="exact"/>
              <w:jc w:val="center"/>
              <w:rPr>
                <w:rFonts w:ascii="Times New Roman" w:hAnsi="Times New Roman" w:eastAsia="仿宋" w:cs="Times New Roman"/>
                <w:color w:val="auto"/>
                <w:kern w:val="0"/>
                <w:sz w:val="24"/>
                <w:szCs w:val="24"/>
                <w:highlight w:val="none"/>
              </w:rPr>
            </w:pPr>
            <w:r>
              <w:rPr>
                <w:rFonts w:ascii="Times New Roman" w:hAnsi="仿宋" w:eastAsia="仿宋" w:cs="Times New Roman"/>
                <w:color w:val="auto"/>
                <w:kern w:val="0"/>
                <w:sz w:val="24"/>
                <w:szCs w:val="24"/>
                <w:highlight w:val="none"/>
              </w:rPr>
              <w:t>天然气、煤层气、页岩气</w:t>
            </w:r>
            <w:r>
              <w:rPr>
                <w:rFonts w:hint="eastAsia" w:ascii="Times New Roman" w:hAnsi="仿宋" w:eastAsia="仿宋" w:cs="Times New Roman"/>
                <w:color w:val="auto"/>
                <w:kern w:val="0"/>
                <w:sz w:val="24"/>
                <w:szCs w:val="24"/>
                <w:highlight w:val="none"/>
                <w:lang w:eastAsia="zh-CN"/>
              </w:rPr>
              <w:t>、</w:t>
            </w:r>
            <w:r>
              <w:rPr>
                <w:rFonts w:hint="eastAsia" w:ascii="Times New Roman" w:hAnsi="仿宋" w:eastAsia="仿宋" w:cs="Times New Roman"/>
                <w:color w:val="auto"/>
                <w:kern w:val="0"/>
                <w:sz w:val="24"/>
                <w:szCs w:val="24"/>
                <w:highlight w:val="none"/>
                <w:lang w:val="en-US" w:eastAsia="zh-CN"/>
              </w:rPr>
              <w:t>盐岩</w:t>
            </w:r>
            <w:r>
              <w:rPr>
                <w:rFonts w:hint="eastAsia" w:ascii="Times New Roman" w:hAnsi="仿宋" w:eastAsia="仿宋" w:cs="Times New Roman"/>
                <w:color w:val="auto"/>
                <w:kern w:val="0"/>
                <w:sz w:val="24"/>
                <w:szCs w:val="24"/>
              </w:rPr>
              <w:t>、石煤</w:t>
            </w:r>
            <w:r>
              <w:rPr>
                <w:rFonts w:hint="eastAsia" w:ascii="Times New Roman" w:hAnsi="仿宋" w:eastAsia="仿宋" w:cs="Times New Roman"/>
                <w:color w:val="auto"/>
                <w:kern w:val="0"/>
                <w:sz w:val="24"/>
                <w:szCs w:val="24"/>
                <w:highlight w:val="none"/>
              </w:rPr>
              <w:t>等</w:t>
            </w:r>
          </w:p>
        </w:tc>
        <w:tc>
          <w:tcPr>
            <w:tcW w:w="1922" w:type="dxa"/>
            <w:vAlign w:val="center"/>
          </w:tcPr>
          <w:p>
            <w:pPr>
              <w:spacing w:line="440" w:lineRule="exact"/>
              <w:jc w:val="center"/>
              <w:rPr>
                <w:rFonts w:hint="default" w:ascii="Times New Roman" w:hAnsi="Times New Roman" w:eastAsia="仿宋" w:cs="Times New Roman"/>
                <w:color w:val="auto"/>
                <w:kern w:val="0"/>
                <w:sz w:val="24"/>
                <w:szCs w:val="24"/>
                <w:highlight w:val="none"/>
                <w:lang w:val="en-US" w:eastAsia="zh-CN"/>
              </w:rPr>
            </w:pPr>
            <w:r>
              <w:rPr>
                <w:rFonts w:ascii="Times New Roman" w:hAnsi="Times New Roman" w:eastAsia="仿宋" w:cs="Times New Roman"/>
                <w:strike w:val="0"/>
                <w:dstrike w:val="0"/>
                <w:color w:val="auto"/>
                <w:kern w:val="0"/>
                <w:sz w:val="24"/>
                <w:szCs w:val="24"/>
                <w:highlight w:val="none"/>
              </w:rPr>
              <w:t>0.</w:t>
            </w:r>
            <w:r>
              <w:rPr>
                <w:rFonts w:hint="eastAsia" w:ascii="Times New Roman" w:hAnsi="Times New Roman" w:eastAsia="仿宋" w:cs="Times New Roman"/>
                <w:strike w:val="0"/>
                <w:dstrike w:val="0"/>
                <w:color w:val="auto"/>
                <w:kern w:val="0"/>
                <w:sz w:val="24"/>
                <w:szCs w:val="24"/>
                <w:highlight w:val="none"/>
              </w:rPr>
              <w:t>6</w:t>
            </w:r>
            <w:r>
              <w:rPr>
                <w:rFonts w:ascii="Times New Roman" w:hAnsi="Times New Roman" w:eastAsia="仿宋" w:cs="Times New Roman"/>
                <w:strike w:val="0"/>
                <w:dstrike w:val="0"/>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91" w:type="dxa"/>
            <w:vMerge w:val="restart"/>
            <w:vAlign w:val="center"/>
          </w:tcPr>
          <w:p>
            <w:pPr>
              <w:spacing w:line="4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金属矿产</w:t>
            </w:r>
          </w:p>
        </w:tc>
        <w:tc>
          <w:tcPr>
            <w:tcW w:w="5187" w:type="dxa"/>
            <w:vAlign w:val="center"/>
          </w:tcPr>
          <w:p>
            <w:pPr>
              <w:spacing w:line="440" w:lineRule="exact"/>
              <w:jc w:val="center"/>
              <w:rPr>
                <w:rFonts w:ascii="Times New Roman" w:hAnsi="Times New Roman" w:eastAsia="仿宋" w:cs="Times New Roman"/>
                <w:kern w:val="0"/>
                <w:sz w:val="24"/>
                <w:szCs w:val="24"/>
                <w:highlight w:val="none"/>
              </w:rPr>
            </w:pPr>
            <w:r>
              <w:rPr>
                <w:rFonts w:hint="eastAsia" w:ascii="Times New Roman" w:hAnsi="仿宋" w:eastAsia="仿宋" w:cs="Times New Roman"/>
                <w:kern w:val="0"/>
                <w:sz w:val="24"/>
                <w:szCs w:val="24"/>
                <w:highlight w:val="none"/>
              </w:rPr>
              <w:t>贵金属、有色金属</w:t>
            </w:r>
            <w:r>
              <w:rPr>
                <w:rFonts w:ascii="Times New Roman" w:hAnsi="仿宋" w:eastAsia="仿宋" w:cs="Times New Roman"/>
                <w:kern w:val="0"/>
                <w:sz w:val="24"/>
                <w:szCs w:val="24"/>
                <w:highlight w:val="none"/>
              </w:rPr>
              <w:t>矿产</w:t>
            </w:r>
            <w:r>
              <w:rPr>
                <w:rFonts w:hint="eastAsia" w:ascii="Times New Roman" w:hAnsi="仿宋" w:eastAsia="仿宋" w:cs="Times New Roman"/>
                <w:kern w:val="0"/>
                <w:sz w:val="24"/>
                <w:szCs w:val="24"/>
                <w:highlight w:val="none"/>
                <w:lang w:eastAsia="zh-CN"/>
              </w:rPr>
              <w:t>、</w:t>
            </w:r>
            <w:r>
              <w:rPr>
                <w:rFonts w:hint="eastAsia" w:ascii="Times New Roman" w:hAnsi="仿宋" w:eastAsia="仿宋" w:cs="Times New Roman"/>
                <w:kern w:val="0"/>
                <w:sz w:val="24"/>
                <w:szCs w:val="24"/>
                <w:highlight w:val="none"/>
              </w:rPr>
              <w:t>黑色</w:t>
            </w:r>
            <w:r>
              <w:rPr>
                <w:rFonts w:ascii="Times New Roman" w:hAnsi="仿宋" w:eastAsia="仿宋" w:cs="Times New Roman"/>
                <w:kern w:val="0"/>
                <w:sz w:val="24"/>
                <w:szCs w:val="24"/>
                <w:highlight w:val="none"/>
              </w:rPr>
              <w:t>金属矿产</w:t>
            </w:r>
          </w:p>
        </w:tc>
        <w:tc>
          <w:tcPr>
            <w:tcW w:w="1922" w:type="dxa"/>
            <w:vAlign w:val="center"/>
          </w:tcPr>
          <w:p>
            <w:pPr>
              <w:spacing w:line="440" w:lineRule="exact"/>
              <w:jc w:val="center"/>
              <w:rPr>
                <w:rFonts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1.</w:t>
            </w:r>
            <w:r>
              <w:rPr>
                <w:rFonts w:hint="eastAsia" w:ascii="Times New Roman" w:hAnsi="Times New Roman" w:eastAsia="仿宋" w:cs="Times New Roman"/>
                <w:kern w:val="0"/>
                <w:sz w:val="24"/>
                <w:szCs w:val="24"/>
                <w:highlight w:val="none"/>
                <w:lang w:val="en-US" w:eastAsia="zh-CN"/>
              </w:rPr>
              <w:t>7</w:t>
            </w:r>
            <w:r>
              <w:rPr>
                <w:rFonts w:ascii="Times New Roman" w:hAnsi="Times New Roman" w:eastAsia="仿宋" w:cs="Times New Roman"/>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91" w:type="dxa"/>
            <w:vMerge w:val="continue"/>
            <w:vAlign w:val="center"/>
          </w:tcPr>
          <w:p>
            <w:pPr>
              <w:spacing w:line="440" w:lineRule="exact"/>
              <w:jc w:val="center"/>
              <w:rPr>
                <w:rFonts w:ascii="Times New Roman" w:hAnsi="Times New Roman" w:eastAsia="仿宋" w:cs="Times New Roman"/>
                <w:kern w:val="0"/>
                <w:sz w:val="24"/>
                <w:szCs w:val="24"/>
              </w:rPr>
            </w:pPr>
          </w:p>
        </w:tc>
        <w:tc>
          <w:tcPr>
            <w:tcW w:w="5187" w:type="dxa"/>
            <w:vAlign w:val="center"/>
          </w:tcPr>
          <w:p>
            <w:pPr>
              <w:spacing w:line="4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放射性矿产</w:t>
            </w:r>
          </w:p>
        </w:tc>
        <w:tc>
          <w:tcPr>
            <w:tcW w:w="1922" w:type="dxa"/>
            <w:vAlign w:val="center"/>
          </w:tcPr>
          <w:p>
            <w:pPr>
              <w:spacing w:line="440" w:lineRule="exact"/>
              <w:jc w:val="center"/>
              <w:rPr>
                <w:rFonts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1.6</w:t>
            </w:r>
            <w:r>
              <w:rPr>
                <w:rFonts w:ascii="Times New Roman" w:hAnsi="Times New Roman" w:eastAsia="仿宋" w:cs="Times New Roman"/>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1691" w:type="dxa"/>
            <w:vMerge w:val="restart"/>
            <w:vAlign w:val="center"/>
          </w:tcPr>
          <w:p>
            <w:pPr>
              <w:spacing w:line="4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非金属矿产</w:t>
            </w:r>
          </w:p>
        </w:tc>
        <w:tc>
          <w:tcPr>
            <w:tcW w:w="5187" w:type="dxa"/>
            <w:vAlign w:val="center"/>
          </w:tcPr>
          <w:p>
            <w:pPr>
              <w:spacing w:line="440" w:lineRule="exact"/>
              <w:jc w:val="center"/>
              <w:rPr>
                <w:rFonts w:hint="eastAsia" w:ascii="Times New Roman" w:hAnsi="Times New Roman" w:eastAsia="仿宋" w:cs="Times New Roman"/>
                <w:kern w:val="0"/>
                <w:sz w:val="24"/>
                <w:szCs w:val="24"/>
                <w:highlight w:val="none"/>
                <w:lang w:eastAsia="zh-CN"/>
              </w:rPr>
            </w:pPr>
            <w:r>
              <w:rPr>
                <w:rFonts w:ascii="Times New Roman" w:hAnsi="仿宋" w:eastAsia="仿宋" w:cs="Times New Roman"/>
                <w:kern w:val="0"/>
                <w:sz w:val="24"/>
                <w:szCs w:val="24"/>
                <w:highlight w:val="none"/>
              </w:rPr>
              <w:t>建材</w:t>
            </w:r>
            <w:r>
              <w:rPr>
                <w:rFonts w:hint="eastAsia" w:ascii="Times New Roman" w:hAnsi="仿宋" w:eastAsia="仿宋" w:cs="Times New Roman"/>
                <w:kern w:val="0"/>
                <w:sz w:val="24"/>
                <w:szCs w:val="24"/>
                <w:highlight w:val="none"/>
              </w:rPr>
              <w:t>非金属</w:t>
            </w:r>
            <w:r>
              <w:rPr>
                <w:rFonts w:ascii="Times New Roman" w:hAnsi="仿宋" w:eastAsia="仿宋" w:cs="Times New Roman"/>
                <w:kern w:val="0"/>
                <w:sz w:val="24"/>
                <w:szCs w:val="24"/>
                <w:highlight w:val="none"/>
              </w:rPr>
              <w:t>矿山</w:t>
            </w:r>
            <w:r>
              <w:rPr>
                <w:rFonts w:hint="eastAsia" w:ascii="Times New Roman" w:hAnsi="仿宋" w:eastAsia="仿宋" w:cs="Times New Roman"/>
                <w:kern w:val="0"/>
                <w:sz w:val="24"/>
                <w:szCs w:val="24"/>
                <w:highlight w:val="none"/>
                <w:lang w:eastAsia="zh-CN"/>
              </w:rPr>
              <w:t>（</w:t>
            </w:r>
            <w:r>
              <w:rPr>
                <w:rFonts w:hint="eastAsia" w:ascii="Times New Roman" w:hAnsi="仿宋" w:eastAsia="仿宋" w:cs="Times New Roman"/>
                <w:kern w:val="0"/>
                <w:sz w:val="24"/>
                <w:szCs w:val="24"/>
                <w:highlight w:val="none"/>
                <w:lang w:val="en-US" w:eastAsia="zh-CN"/>
              </w:rPr>
              <w:t>水泥用灰岩、建筑用灰岩等</w:t>
            </w:r>
            <w:r>
              <w:rPr>
                <w:rFonts w:hint="eastAsia" w:ascii="Times New Roman" w:hAnsi="仿宋" w:eastAsia="仿宋" w:cs="Times New Roman"/>
                <w:kern w:val="0"/>
                <w:sz w:val="24"/>
                <w:szCs w:val="24"/>
                <w:highlight w:val="none"/>
                <w:lang w:eastAsia="zh-CN"/>
              </w:rPr>
              <w:t>）</w:t>
            </w:r>
          </w:p>
        </w:tc>
        <w:tc>
          <w:tcPr>
            <w:tcW w:w="1922" w:type="dxa"/>
            <w:vAlign w:val="center"/>
          </w:tcPr>
          <w:p>
            <w:pPr>
              <w:spacing w:line="440" w:lineRule="exact"/>
              <w:jc w:val="center"/>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strike w:val="0"/>
                <w:dstrike w:val="0"/>
                <w:kern w:val="0"/>
                <w:sz w:val="24"/>
                <w:szCs w:val="24"/>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91" w:type="dxa"/>
            <w:vMerge w:val="continue"/>
            <w:vAlign w:val="center"/>
          </w:tcPr>
          <w:p>
            <w:pPr>
              <w:spacing w:line="440" w:lineRule="exact"/>
              <w:jc w:val="center"/>
              <w:rPr>
                <w:rFonts w:ascii="Times New Roman" w:hAnsi="Times New Roman" w:eastAsia="仿宋" w:cs="Times New Roman"/>
                <w:kern w:val="0"/>
                <w:sz w:val="24"/>
                <w:szCs w:val="24"/>
              </w:rPr>
            </w:pPr>
          </w:p>
        </w:tc>
        <w:tc>
          <w:tcPr>
            <w:tcW w:w="5187" w:type="dxa"/>
            <w:tcBorders>
              <w:bottom w:val="single" w:color="auto" w:sz="4" w:space="0"/>
            </w:tcBorders>
            <w:vAlign w:val="center"/>
          </w:tcPr>
          <w:p>
            <w:pPr>
              <w:spacing w:line="440" w:lineRule="exact"/>
              <w:jc w:val="center"/>
              <w:rPr>
                <w:rFonts w:hint="eastAsia" w:ascii="Times New Roman" w:hAnsi="Times New Roman" w:eastAsia="仿宋" w:cs="Times New Roman"/>
                <w:kern w:val="0"/>
                <w:sz w:val="24"/>
                <w:szCs w:val="24"/>
                <w:highlight w:val="none"/>
                <w:lang w:eastAsia="zh-CN"/>
              </w:rPr>
            </w:pPr>
            <w:r>
              <w:rPr>
                <w:rFonts w:ascii="Times New Roman" w:hAnsi="仿宋" w:eastAsia="仿宋" w:cs="Times New Roman"/>
                <w:kern w:val="0"/>
                <w:sz w:val="24"/>
                <w:szCs w:val="24"/>
                <w:highlight w:val="none"/>
              </w:rPr>
              <w:t>其他非金属矿产</w:t>
            </w:r>
            <w:r>
              <w:rPr>
                <w:rFonts w:hint="eastAsia" w:ascii="Times New Roman" w:hAnsi="仿宋" w:eastAsia="仿宋" w:cs="Times New Roman"/>
                <w:kern w:val="0"/>
                <w:sz w:val="24"/>
                <w:szCs w:val="24"/>
                <w:highlight w:val="none"/>
                <w:lang w:eastAsia="zh-CN"/>
              </w:rPr>
              <w:t>（</w:t>
            </w:r>
            <w:r>
              <w:rPr>
                <w:rFonts w:hint="eastAsia" w:ascii="Times New Roman" w:hAnsi="仿宋" w:eastAsia="仿宋" w:cs="Times New Roman"/>
                <w:kern w:val="0"/>
                <w:sz w:val="24"/>
                <w:szCs w:val="24"/>
                <w:highlight w:val="none"/>
                <w:lang w:val="en-US" w:eastAsia="zh-CN"/>
              </w:rPr>
              <w:t>砖瓦黏土等</w:t>
            </w:r>
            <w:r>
              <w:rPr>
                <w:rFonts w:hint="eastAsia" w:ascii="Times New Roman" w:hAnsi="仿宋" w:eastAsia="仿宋" w:cs="Times New Roman"/>
                <w:kern w:val="0"/>
                <w:sz w:val="24"/>
                <w:szCs w:val="24"/>
                <w:highlight w:val="none"/>
                <w:lang w:eastAsia="zh-CN"/>
              </w:rPr>
              <w:t>）</w:t>
            </w:r>
          </w:p>
        </w:tc>
        <w:tc>
          <w:tcPr>
            <w:tcW w:w="1922" w:type="dxa"/>
            <w:tcBorders>
              <w:bottom w:val="single" w:color="auto" w:sz="4" w:space="0"/>
            </w:tcBorders>
            <w:vAlign w:val="center"/>
          </w:tcPr>
          <w:p>
            <w:pPr>
              <w:spacing w:line="440" w:lineRule="exact"/>
              <w:jc w:val="center"/>
              <w:rPr>
                <w:rFonts w:ascii="Times New Roman" w:hAnsi="Times New Roman" w:eastAsia="仿宋" w:cs="Times New Roman"/>
                <w:kern w:val="0"/>
                <w:sz w:val="24"/>
                <w:szCs w:val="24"/>
                <w:highlight w:val="none"/>
              </w:rPr>
            </w:pPr>
            <w:r>
              <w:rPr>
                <w:rFonts w:hint="eastAsia" w:ascii="Times New Roman" w:hAnsi="Times New Roman" w:eastAsia="仿宋" w:cs="Times New Roman"/>
                <w:strike w:val="0"/>
                <w:dstrike w:val="0"/>
                <w:kern w:val="0"/>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91" w:type="dxa"/>
            <w:vMerge w:val="continue"/>
            <w:tcBorders>
              <w:bottom w:val="single" w:color="auto" w:sz="4" w:space="0"/>
            </w:tcBorders>
            <w:vAlign w:val="center"/>
          </w:tcPr>
          <w:p>
            <w:pPr>
              <w:spacing w:line="440" w:lineRule="exact"/>
              <w:jc w:val="center"/>
              <w:rPr>
                <w:rFonts w:ascii="Times New Roman" w:hAnsi="Times New Roman" w:eastAsia="仿宋" w:cs="Times New Roman"/>
                <w:kern w:val="0"/>
                <w:sz w:val="24"/>
                <w:szCs w:val="24"/>
              </w:rPr>
            </w:pPr>
          </w:p>
        </w:tc>
        <w:tc>
          <w:tcPr>
            <w:tcW w:w="5187" w:type="dxa"/>
            <w:tcBorders>
              <w:bottom w:val="single" w:color="auto" w:sz="4" w:space="0"/>
            </w:tcBorders>
            <w:vAlign w:val="center"/>
          </w:tcPr>
          <w:p>
            <w:pPr>
              <w:spacing w:line="440" w:lineRule="exact"/>
              <w:jc w:val="center"/>
              <w:rPr>
                <w:rFonts w:ascii="Times New Roman" w:hAnsi="仿宋" w:eastAsia="仿宋" w:cs="Times New Roman"/>
                <w:kern w:val="0"/>
                <w:sz w:val="24"/>
                <w:szCs w:val="24"/>
                <w:highlight w:val="none"/>
              </w:rPr>
            </w:pPr>
            <w:r>
              <w:rPr>
                <w:rFonts w:hint="eastAsia" w:ascii="Times New Roman" w:hAnsi="Times New Roman" w:eastAsia="仿宋" w:cs="Times New Roman"/>
                <w:kern w:val="0"/>
                <w:sz w:val="24"/>
                <w:szCs w:val="24"/>
                <w:highlight w:val="none"/>
                <w:lang w:val="en-US" w:eastAsia="zh-CN"/>
              </w:rPr>
              <w:t>化工类矿产（</w:t>
            </w:r>
            <w:r>
              <w:rPr>
                <w:rFonts w:hint="eastAsia" w:ascii="Times New Roman" w:hAnsi="仿宋" w:eastAsia="仿宋" w:cs="Times New Roman"/>
                <w:kern w:val="0"/>
                <w:sz w:val="24"/>
                <w:szCs w:val="24"/>
                <w:highlight w:val="none"/>
                <w:lang w:val="en-US" w:eastAsia="zh-CN"/>
              </w:rPr>
              <w:t>磷矿、硫铁矿、石墨、石膏等</w:t>
            </w:r>
            <w:r>
              <w:rPr>
                <w:rFonts w:hint="eastAsia" w:ascii="Times New Roman" w:hAnsi="Times New Roman" w:eastAsia="仿宋" w:cs="Times New Roman"/>
                <w:kern w:val="0"/>
                <w:sz w:val="24"/>
                <w:szCs w:val="24"/>
                <w:highlight w:val="none"/>
                <w:lang w:val="en-US" w:eastAsia="zh-CN"/>
              </w:rPr>
              <w:t>）</w:t>
            </w:r>
          </w:p>
        </w:tc>
        <w:tc>
          <w:tcPr>
            <w:tcW w:w="1922" w:type="dxa"/>
            <w:tcBorders>
              <w:bottom w:val="single" w:color="auto" w:sz="4" w:space="0"/>
            </w:tcBorders>
            <w:vAlign w:val="center"/>
          </w:tcPr>
          <w:p>
            <w:pPr>
              <w:spacing w:line="440" w:lineRule="exact"/>
              <w:jc w:val="center"/>
              <w:rPr>
                <w:rFonts w:hint="eastAsia" w:ascii="Times New Roman" w:hAnsi="Times New Roman" w:eastAsia="仿宋" w:cs="Times New Roman"/>
                <w:strike/>
                <w:dstrike w:val="0"/>
                <w:kern w:val="0"/>
                <w:sz w:val="24"/>
                <w:szCs w:val="24"/>
                <w:highlight w:val="none"/>
              </w:rPr>
            </w:pPr>
            <w:r>
              <w:rPr>
                <w:rFonts w:hint="eastAsia" w:ascii="Times New Roman" w:hAnsi="Times New Roman" w:eastAsia="仿宋" w:cs="Times New Roman"/>
                <w:kern w:val="0"/>
                <w:sz w:val="24"/>
                <w:szCs w:val="24"/>
                <w:highlight w:val="none"/>
              </w:rPr>
              <w:t>1.</w:t>
            </w:r>
            <w:r>
              <w:rPr>
                <w:rFonts w:hint="eastAsia" w:ascii="Times New Roman" w:hAnsi="Times New Roman" w:eastAsia="仿宋" w:cs="Times New Roman"/>
                <w:kern w:val="0"/>
                <w:sz w:val="24"/>
                <w:szCs w:val="24"/>
                <w:highlight w:val="none"/>
                <w:lang w:val="en-US" w:eastAsia="zh-CN"/>
              </w:rPr>
              <w:t>8</w:t>
            </w:r>
            <w:r>
              <w:rPr>
                <w:rFonts w:ascii="Times New Roman" w:hAnsi="Times New Roman" w:eastAsia="仿宋" w:cs="Times New Roman"/>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91" w:type="dxa"/>
            <w:tcBorders>
              <w:top w:val="single" w:color="auto" w:sz="4" w:space="0"/>
            </w:tcBorders>
            <w:vAlign w:val="center"/>
          </w:tcPr>
          <w:p>
            <w:pPr>
              <w:widowControl/>
              <w:spacing w:line="4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水汽矿产</w:t>
            </w:r>
          </w:p>
        </w:tc>
        <w:tc>
          <w:tcPr>
            <w:tcW w:w="5187" w:type="dxa"/>
            <w:tcBorders>
              <w:top w:val="single" w:color="auto" w:sz="4" w:space="0"/>
            </w:tcBorders>
            <w:vAlign w:val="center"/>
          </w:tcPr>
          <w:p>
            <w:pPr>
              <w:spacing w:line="4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矿泉水</w:t>
            </w:r>
            <w:r>
              <w:rPr>
                <w:rFonts w:hint="eastAsia" w:ascii="Times New Roman" w:hAnsi="仿宋" w:eastAsia="仿宋" w:cs="Times New Roman"/>
                <w:kern w:val="0"/>
                <w:sz w:val="24"/>
                <w:szCs w:val="24"/>
              </w:rPr>
              <w:t>、</w:t>
            </w:r>
            <w:r>
              <w:rPr>
                <w:rFonts w:ascii="Times New Roman" w:hAnsi="仿宋" w:eastAsia="仿宋" w:cs="Times New Roman"/>
                <w:kern w:val="0"/>
                <w:sz w:val="24"/>
                <w:szCs w:val="24"/>
              </w:rPr>
              <w:t>地热</w:t>
            </w:r>
            <w:r>
              <w:rPr>
                <w:rFonts w:hint="eastAsia" w:ascii="Times New Roman" w:hAnsi="仿宋" w:eastAsia="仿宋" w:cs="Times New Roman"/>
                <w:kern w:val="0"/>
                <w:sz w:val="24"/>
                <w:szCs w:val="24"/>
              </w:rPr>
              <w:t>等</w:t>
            </w:r>
          </w:p>
        </w:tc>
        <w:tc>
          <w:tcPr>
            <w:tcW w:w="1922" w:type="dxa"/>
            <w:tcBorders>
              <w:top w:val="single" w:color="auto" w:sz="4" w:space="0"/>
            </w:tcBorders>
            <w:vAlign w:val="center"/>
          </w:tcPr>
          <w:p>
            <w:pPr>
              <w:spacing w:line="440" w:lineRule="exact"/>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0.2%</w:t>
            </w:r>
          </w:p>
        </w:tc>
      </w:tr>
    </w:tbl>
    <w:p>
      <w:pPr>
        <w:widowControl/>
        <w:snapToGrid w:val="0"/>
        <w:spacing w:line="600" w:lineRule="exact"/>
        <w:ind w:firstLine="640" w:firstLineChars="200"/>
        <w:rPr>
          <w:rFonts w:hint="eastAsia" w:ascii="黑体" w:hAnsi="黑体" w:eastAsia="黑体" w:cs="Times New Roman"/>
          <w:kern w:val="0"/>
          <w:sz w:val="32"/>
          <w:szCs w:val="32"/>
        </w:rPr>
      </w:pPr>
    </w:p>
    <w:p>
      <w:pPr>
        <w:widowControl/>
        <w:snapToGrid w:val="0"/>
        <w:spacing w:line="600" w:lineRule="exact"/>
        <w:ind w:firstLine="640" w:firstLineChars="200"/>
        <w:rPr>
          <w:rFonts w:hint="eastAsia" w:ascii="黑体" w:hAnsi="黑体" w:eastAsia="黑体" w:cs="Times New Roman"/>
          <w:kern w:val="0"/>
          <w:sz w:val="32"/>
          <w:szCs w:val="32"/>
        </w:rPr>
      </w:pPr>
    </w:p>
    <w:p>
      <w:pPr>
        <w:widowControl/>
        <w:snapToGrid w:val="0"/>
        <w:spacing w:line="600" w:lineRule="exact"/>
        <w:ind w:firstLine="640" w:firstLineChars="200"/>
        <w:rPr>
          <w:rFonts w:hint="eastAsia" w:ascii="黑体" w:hAnsi="黑体" w:eastAsia="黑体" w:cs="Times New Roman"/>
          <w:kern w:val="0"/>
          <w:sz w:val="32"/>
          <w:szCs w:val="32"/>
        </w:rPr>
      </w:pPr>
    </w:p>
    <w:p>
      <w:pPr>
        <w:widowControl/>
        <w:snapToGrid w:val="0"/>
        <w:spacing w:line="600" w:lineRule="exact"/>
        <w:ind w:firstLine="640" w:firstLineChars="200"/>
        <w:rPr>
          <w:rFonts w:hint="eastAsia" w:ascii="黑体" w:hAnsi="黑体" w:eastAsia="黑体" w:cs="Times New Roman"/>
          <w:kern w:val="0"/>
          <w:sz w:val="32"/>
          <w:szCs w:val="32"/>
        </w:rPr>
      </w:pPr>
    </w:p>
    <w:p>
      <w:pPr>
        <w:widowControl/>
        <w:snapToGrid w:val="0"/>
        <w:spacing w:line="60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w:t>
      </w:r>
      <w:r>
        <w:rPr>
          <w:rFonts w:ascii="黑体" w:hAnsi="黑体" w:eastAsia="黑体" w:cs="Times New Roman"/>
          <w:kern w:val="0"/>
          <w:sz w:val="32"/>
          <w:szCs w:val="32"/>
        </w:rPr>
        <w:t>开采系数</w:t>
      </w:r>
    </w:p>
    <w:p>
      <w:pPr>
        <w:widowControl/>
        <w:snapToGrid w:val="0"/>
        <w:spacing w:line="48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基金计提的开采系数见表2。</w:t>
      </w:r>
    </w:p>
    <w:p>
      <w:pPr>
        <w:jc w:val="center"/>
        <w:rPr>
          <w:rFonts w:ascii="Times New Roman" w:hAnsi="Times New Roman" w:eastAsia="仿宋" w:cs="Times New Roman"/>
          <w:b/>
          <w:kern w:val="0"/>
          <w:sz w:val="28"/>
          <w:szCs w:val="28"/>
        </w:rPr>
      </w:pPr>
      <w:r>
        <w:rPr>
          <w:rFonts w:ascii="Times New Roman" w:hAnsi="仿宋" w:eastAsia="仿宋" w:cs="Times New Roman"/>
          <w:b/>
          <w:kern w:val="0"/>
          <w:sz w:val="28"/>
          <w:szCs w:val="28"/>
        </w:rPr>
        <w:t>表</w:t>
      </w:r>
      <w:r>
        <w:rPr>
          <w:rFonts w:ascii="Times New Roman" w:hAnsi="Times New Roman" w:eastAsia="仿宋" w:cs="Times New Roman"/>
          <w:b/>
          <w:kern w:val="0"/>
          <w:sz w:val="28"/>
          <w:szCs w:val="28"/>
        </w:rPr>
        <w:t xml:space="preserve">2  </w:t>
      </w:r>
      <w:r>
        <w:rPr>
          <w:rFonts w:ascii="Times New Roman" w:hAnsi="仿宋" w:eastAsia="仿宋" w:cs="Times New Roman"/>
          <w:b/>
          <w:kern w:val="0"/>
          <w:sz w:val="28"/>
          <w:szCs w:val="28"/>
        </w:rPr>
        <w:t>基金计提开采系数一览表</w:t>
      </w:r>
    </w:p>
    <w:tbl>
      <w:tblPr>
        <w:tblStyle w:val="10"/>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50"/>
        <w:gridCol w:w="1795"/>
        <w:gridCol w:w="1418"/>
        <w:gridCol w:w="1234"/>
        <w:gridCol w:w="980"/>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25" w:type="dxa"/>
            <w:gridSpan w:val="2"/>
            <w:vAlign w:val="center"/>
          </w:tcPr>
          <w:p>
            <w:pPr>
              <w:widowControl/>
              <w:spacing w:line="300" w:lineRule="exact"/>
              <w:jc w:val="center"/>
              <w:rPr>
                <w:rFonts w:ascii="Times New Roman" w:hAnsi="Times New Roman" w:eastAsia="仿宋" w:cs="Times New Roman"/>
                <w:b/>
                <w:kern w:val="0"/>
                <w:sz w:val="24"/>
                <w:szCs w:val="24"/>
              </w:rPr>
            </w:pPr>
            <w:r>
              <w:rPr>
                <w:rFonts w:ascii="Times New Roman" w:hAnsi="仿宋" w:eastAsia="仿宋" w:cs="Times New Roman"/>
                <w:b/>
                <w:kern w:val="0"/>
                <w:sz w:val="24"/>
                <w:szCs w:val="24"/>
              </w:rPr>
              <w:t>矿种</w:t>
            </w:r>
          </w:p>
        </w:tc>
        <w:tc>
          <w:tcPr>
            <w:tcW w:w="3213" w:type="dxa"/>
            <w:gridSpan w:val="2"/>
            <w:shd w:val="clear" w:color="auto" w:fill="auto"/>
            <w:vAlign w:val="center"/>
          </w:tcPr>
          <w:p>
            <w:pPr>
              <w:widowControl/>
              <w:spacing w:line="300" w:lineRule="exact"/>
              <w:jc w:val="center"/>
              <w:rPr>
                <w:rFonts w:ascii="Times New Roman" w:hAnsi="Times New Roman" w:eastAsia="仿宋" w:cs="Times New Roman"/>
                <w:b/>
                <w:kern w:val="0"/>
                <w:sz w:val="24"/>
                <w:szCs w:val="24"/>
              </w:rPr>
            </w:pPr>
            <w:r>
              <w:rPr>
                <w:rFonts w:ascii="Times New Roman" w:hAnsi="仿宋" w:eastAsia="仿宋" w:cs="Times New Roman"/>
                <w:b/>
                <w:kern w:val="0"/>
                <w:sz w:val="24"/>
                <w:szCs w:val="24"/>
              </w:rPr>
              <w:t>露天开采</w:t>
            </w:r>
          </w:p>
        </w:tc>
        <w:tc>
          <w:tcPr>
            <w:tcW w:w="3242" w:type="dxa"/>
            <w:gridSpan w:val="3"/>
            <w:vAlign w:val="center"/>
          </w:tcPr>
          <w:p>
            <w:pPr>
              <w:spacing w:line="300" w:lineRule="exact"/>
              <w:jc w:val="center"/>
              <w:rPr>
                <w:rFonts w:hint="eastAsia"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75" w:type="dxa"/>
            <w:vMerge w:val="restart"/>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能源</w:t>
            </w:r>
          </w:p>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矿产</w:t>
            </w:r>
          </w:p>
        </w:tc>
        <w:tc>
          <w:tcPr>
            <w:tcW w:w="850" w:type="dxa"/>
            <w:vMerge w:val="restart"/>
            <w:shd w:val="clear" w:color="auto" w:fill="auto"/>
            <w:vAlign w:val="center"/>
          </w:tcPr>
          <w:p>
            <w:pPr>
              <w:widowControl/>
              <w:spacing w:line="300" w:lineRule="exact"/>
              <w:jc w:val="center"/>
              <w:rPr>
                <w:rFonts w:hint="eastAsia" w:ascii="Times New Roman" w:hAnsi="Times New Roman" w:eastAsia="仿宋" w:cs="Times New Roman"/>
                <w:kern w:val="0"/>
                <w:sz w:val="24"/>
                <w:szCs w:val="24"/>
                <w:lang w:eastAsia="zh-CN"/>
              </w:rPr>
            </w:pPr>
            <w:r>
              <w:rPr>
                <w:rFonts w:ascii="Times New Roman" w:hAnsi="仿宋" w:eastAsia="仿宋" w:cs="Times New Roman"/>
                <w:kern w:val="0"/>
                <w:sz w:val="24"/>
                <w:szCs w:val="24"/>
              </w:rPr>
              <w:t>开采方</w:t>
            </w:r>
            <w:r>
              <w:rPr>
                <w:rFonts w:hint="eastAsia" w:ascii="Times New Roman" w:hAnsi="仿宋" w:eastAsia="仿宋" w:cs="Times New Roman"/>
                <w:kern w:val="0"/>
                <w:sz w:val="24"/>
                <w:szCs w:val="24"/>
                <w:lang w:val="en-US" w:eastAsia="zh-CN"/>
              </w:rPr>
              <w:t>法</w:t>
            </w:r>
          </w:p>
        </w:tc>
        <w:tc>
          <w:tcPr>
            <w:tcW w:w="1795" w:type="dxa"/>
            <w:vMerge w:val="restart"/>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自上而下水平分层采矿法（自然排水）</w:t>
            </w:r>
          </w:p>
        </w:tc>
        <w:tc>
          <w:tcPr>
            <w:tcW w:w="1418" w:type="dxa"/>
            <w:vMerge w:val="restart"/>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露天坑采法</w:t>
            </w:r>
          </w:p>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（人工排水）</w:t>
            </w:r>
          </w:p>
        </w:tc>
        <w:tc>
          <w:tcPr>
            <w:tcW w:w="1234" w:type="dxa"/>
            <w:vMerge w:val="restart"/>
            <w:vAlign w:val="center"/>
          </w:tcPr>
          <w:p>
            <w:pPr>
              <w:widowControl/>
              <w:spacing w:line="300" w:lineRule="exact"/>
              <w:jc w:val="center"/>
              <w:rPr>
                <w:rFonts w:ascii="Times New Roman" w:hAnsi="Times New Roman" w:eastAsia="仿宋" w:cs="Times New Roman"/>
                <w:kern w:val="0"/>
                <w:sz w:val="24"/>
                <w:szCs w:val="24"/>
                <w:highlight w:val="none"/>
              </w:rPr>
            </w:pPr>
            <w:r>
              <w:rPr>
                <w:rFonts w:ascii="Times New Roman" w:hAnsi="仿宋" w:eastAsia="仿宋" w:cs="Times New Roman"/>
                <w:kern w:val="0"/>
                <w:sz w:val="24"/>
                <w:szCs w:val="24"/>
                <w:highlight w:val="none"/>
              </w:rPr>
              <w:t>不允许</w:t>
            </w:r>
          </w:p>
          <w:p>
            <w:pPr>
              <w:widowControl/>
              <w:spacing w:line="300" w:lineRule="exact"/>
              <w:jc w:val="center"/>
              <w:rPr>
                <w:rFonts w:ascii="Times New Roman" w:hAnsi="Times New Roman" w:eastAsia="仿宋" w:cs="Times New Roman"/>
                <w:kern w:val="0"/>
                <w:sz w:val="24"/>
                <w:szCs w:val="24"/>
                <w:highlight w:val="none"/>
                <w:lang w:val="en-US" w:eastAsia="zh-CN" w:bidi="ar-SA"/>
              </w:rPr>
            </w:pPr>
            <w:r>
              <w:rPr>
                <w:rFonts w:ascii="Times New Roman" w:hAnsi="仿宋" w:eastAsia="仿宋" w:cs="Times New Roman"/>
                <w:kern w:val="0"/>
                <w:sz w:val="24"/>
                <w:szCs w:val="24"/>
                <w:highlight w:val="none"/>
              </w:rPr>
              <w:t>地表塌落</w:t>
            </w:r>
          </w:p>
        </w:tc>
        <w:tc>
          <w:tcPr>
            <w:tcW w:w="2008" w:type="dxa"/>
            <w:gridSpan w:val="2"/>
            <w:vAlign w:val="center"/>
          </w:tcPr>
          <w:p>
            <w:pPr>
              <w:widowControl/>
              <w:spacing w:line="300" w:lineRule="exact"/>
              <w:jc w:val="center"/>
              <w:rPr>
                <w:rFonts w:ascii="Times New Roman" w:hAnsi="仿宋" w:eastAsia="仿宋" w:cs="Times New Roman"/>
                <w:color w:val="auto"/>
                <w:kern w:val="0"/>
                <w:sz w:val="24"/>
                <w:szCs w:val="24"/>
              </w:rPr>
            </w:pPr>
            <w:r>
              <w:rPr>
                <w:rFonts w:ascii="Times New Roman" w:hAnsi="仿宋" w:eastAsia="仿宋" w:cs="Times New Roman"/>
                <w:color w:val="auto"/>
                <w:kern w:val="0"/>
                <w:sz w:val="24"/>
                <w:szCs w:val="24"/>
              </w:rPr>
              <w:t>允许塌陷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75" w:type="dxa"/>
            <w:vMerge w:val="continue"/>
            <w:shd w:val="clear" w:color="auto" w:fill="auto"/>
            <w:vAlign w:val="center"/>
          </w:tcPr>
          <w:p>
            <w:pPr>
              <w:widowControl/>
              <w:spacing w:line="300" w:lineRule="exact"/>
              <w:jc w:val="center"/>
              <w:rPr>
                <w:rFonts w:ascii="Times New Roman" w:hAnsi="仿宋" w:eastAsia="仿宋" w:cs="Times New Roman"/>
                <w:kern w:val="0"/>
                <w:sz w:val="24"/>
                <w:szCs w:val="24"/>
              </w:rPr>
            </w:pPr>
          </w:p>
        </w:tc>
        <w:tc>
          <w:tcPr>
            <w:tcW w:w="850" w:type="dxa"/>
            <w:vMerge w:val="continue"/>
            <w:shd w:val="clear" w:color="auto" w:fill="auto"/>
            <w:vAlign w:val="center"/>
          </w:tcPr>
          <w:p>
            <w:pPr>
              <w:widowControl/>
              <w:spacing w:line="300" w:lineRule="exact"/>
              <w:jc w:val="center"/>
              <w:rPr>
                <w:rFonts w:ascii="Times New Roman" w:hAnsi="仿宋" w:eastAsia="仿宋" w:cs="Times New Roman"/>
                <w:kern w:val="0"/>
                <w:sz w:val="24"/>
                <w:szCs w:val="24"/>
              </w:rPr>
            </w:pPr>
          </w:p>
        </w:tc>
        <w:tc>
          <w:tcPr>
            <w:tcW w:w="1795" w:type="dxa"/>
            <w:vMerge w:val="continue"/>
            <w:shd w:val="clear" w:color="auto" w:fill="auto"/>
            <w:vAlign w:val="center"/>
          </w:tcPr>
          <w:p>
            <w:pPr>
              <w:widowControl/>
              <w:spacing w:line="300" w:lineRule="exact"/>
              <w:jc w:val="center"/>
              <w:rPr>
                <w:rFonts w:ascii="Times New Roman" w:hAnsi="仿宋" w:eastAsia="仿宋" w:cs="Times New Roman"/>
                <w:kern w:val="0"/>
                <w:sz w:val="24"/>
                <w:szCs w:val="24"/>
              </w:rPr>
            </w:pPr>
          </w:p>
        </w:tc>
        <w:tc>
          <w:tcPr>
            <w:tcW w:w="1418" w:type="dxa"/>
            <w:vMerge w:val="continue"/>
            <w:shd w:val="clear" w:color="auto" w:fill="auto"/>
            <w:vAlign w:val="center"/>
          </w:tcPr>
          <w:p>
            <w:pPr>
              <w:widowControl/>
              <w:spacing w:line="300" w:lineRule="exact"/>
              <w:jc w:val="center"/>
              <w:rPr>
                <w:rFonts w:ascii="Times New Roman" w:hAnsi="仿宋" w:eastAsia="仿宋" w:cs="Times New Roman"/>
                <w:kern w:val="0"/>
                <w:sz w:val="24"/>
                <w:szCs w:val="24"/>
              </w:rPr>
            </w:pPr>
          </w:p>
        </w:tc>
        <w:tc>
          <w:tcPr>
            <w:tcW w:w="1234" w:type="dxa"/>
            <w:vMerge w:val="continue"/>
            <w:shd w:val="clear" w:color="auto" w:fill="auto"/>
            <w:vAlign w:val="center"/>
          </w:tcPr>
          <w:p>
            <w:pPr>
              <w:widowControl/>
              <w:spacing w:line="300" w:lineRule="exact"/>
              <w:jc w:val="center"/>
              <w:rPr>
                <w:rFonts w:ascii="Times New Roman" w:hAnsi="Times New Roman" w:eastAsia="仿宋" w:cs="Times New Roman"/>
                <w:kern w:val="0"/>
                <w:sz w:val="24"/>
                <w:szCs w:val="24"/>
                <w:highlight w:val="none"/>
                <w:lang w:val="en-US" w:eastAsia="zh-CN" w:bidi="ar-SA"/>
              </w:rPr>
            </w:pPr>
          </w:p>
        </w:tc>
        <w:tc>
          <w:tcPr>
            <w:tcW w:w="980" w:type="dxa"/>
            <w:vAlign w:val="center"/>
          </w:tcPr>
          <w:p>
            <w:pPr>
              <w:spacing w:line="300" w:lineRule="exact"/>
              <w:jc w:val="center"/>
              <w:rPr>
                <w:rFonts w:ascii="Times New Roman" w:hAnsi="仿宋" w:eastAsia="仿宋" w:cs="Times New Roman"/>
                <w:color w:val="auto"/>
                <w:kern w:val="0"/>
                <w:sz w:val="24"/>
                <w:szCs w:val="24"/>
              </w:rPr>
            </w:pPr>
            <w:r>
              <w:rPr>
                <w:rFonts w:hint="eastAsia" w:ascii="Times New Roman" w:hAnsi="仿宋" w:eastAsia="仿宋" w:cs="Times New Roman"/>
                <w:color w:val="auto"/>
                <w:kern w:val="0"/>
                <w:sz w:val="24"/>
                <w:szCs w:val="24"/>
              </w:rPr>
              <w:t>柱式采煤法</w:t>
            </w:r>
          </w:p>
        </w:tc>
        <w:tc>
          <w:tcPr>
            <w:tcW w:w="1028" w:type="dxa"/>
            <w:vAlign w:val="center"/>
          </w:tcPr>
          <w:p>
            <w:pPr>
              <w:widowControl/>
              <w:spacing w:line="300" w:lineRule="exact"/>
              <w:jc w:val="center"/>
              <w:rPr>
                <w:rFonts w:ascii="Times New Roman" w:hAnsi="仿宋" w:eastAsia="仿宋" w:cs="Times New Roman"/>
                <w:color w:val="auto"/>
                <w:kern w:val="0"/>
                <w:sz w:val="24"/>
                <w:szCs w:val="24"/>
              </w:rPr>
            </w:pPr>
            <w:r>
              <w:rPr>
                <w:rFonts w:hint="eastAsia" w:ascii="Times New Roman" w:hAnsi="仿宋" w:eastAsia="仿宋" w:cs="Times New Roman"/>
                <w:color w:val="auto"/>
                <w:kern w:val="0"/>
                <w:sz w:val="24"/>
                <w:szCs w:val="24"/>
              </w:rPr>
              <w:t>机械化综采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75" w:type="dxa"/>
            <w:vMerge w:val="continue"/>
            <w:vAlign w:val="center"/>
          </w:tcPr>
          <w:p>
            <w:pPr>
              <w:widowControl/>
              <w:spacing w:line="300" w:lineRule="exact"/>
              <w:jc w:val="left"/>
              <w:rPr>
                <w:rFonts w:ascii="Times New Roman" w:hAnsi="Times New Roman" w:eastAsia="仿宋" w:cs="Times New Roman"/>
                <w:kern w:val="0"/>
                <w:sz w:val="24"/>
                <w:szCs w:val="24"/>
              </w:rPr>
            </w:pPr>
          </w:p>
        </w:tc>
        <w:tc>
          <w:tcPr>
            <w:tcW w:w="850" w:type="dxa"/>
            <w:vAlign w:val="center"/>
          </w:tcPr>
          <w:p>
            <w:pPr>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开采系数</w:t>
            </w:r>
          </w:p>
        </w:tc>
        <w:tc>
          <w:tcPr>
            <w:tcW w:w="1795" w:type="dxa"/>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1.5</w:t>
            </w:r>
          </w:p>
        </w:tc>
        <w:tc>
          <w:tcPr>
            <w:tcW w:w="1418" w:type="dxa"/>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1.8</w:t>
            </w:r>
          </w:p>
        </w:tc>
        <w:tc>
          <w:tcPr>
            <w:tcW w:w="1234" w:type="dxa"/>
            <w:shd w:val="clear" w:color="auto" w:fill="auto"/>
            <w:vAlign w:val="center"/>
          </w:tcPr>
          <w:p>
            <w:pPr>
              <w:widowControl/>
              <w:spacing w:line="300" w:lineRule="exact"/>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0.7</w:t>
            </w:r>
          </w:p>
        </w:tc>
        <w:tc>
          <w:tcPr>
            <w:tcW w:w="980" w:type="dxa"/>
            <w:vAlign w:val="center"/>
          </w:tcPr>
          <w:p>
            <w:pPr>
              <w:widowControl/>
              <w:spacing w:line="30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0</w:t>
            </w:r>
          </w:p>
        </w:tc>
        <w:tc>
          <w:tcPr>
            <w:tcW w:w="1028" w:type="dxa"/>
            <w:vAlign w:val="center"/>
          </w:tcPr>
          <w:p>
            <w:pPr>
              <w:widowControl/>
              <w:spacing w:line="300" w:lineRule="exac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5" w:type="dxa"/>
            <w:vMerge w:val="restart"/>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金属</w:t>
            </w:r>
          </w:p>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矿产</w:t>
            </w:r>
          </w:p>
        </w:tc>
        <w:tc>
          <w:tcPr>
            <w:tcW w:w="850" w:type="dxa"/>
            <w:vMerge w:val="restart"/>
            <w:vAlign w:val="center"/>
          </w:tcPr>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开采方</w:t>
            </w:r>
            <w:r>
              <w:rPr>
                <w:rFonts w:hint="eastAsia" w:ascii="Times New Roman" w:hAnsi="仿宋" w:eastAsia="仿宋" w:cs="Times New Roman"/>
                <w:kern w:val="0"/>
                <w:sz w:val="24"/>
                <w:szCs w:val="24"/>
                <w:lang w:val="en-US" w:eastAsia="zh-CN"/>
              </w:rPr>
              <w:t>法</w:t>
            </w:r>
          </w:p>
        </w:tc>
        <w:tc>
          <w:tcPr>
            <w:tcW w:w="1795" w:type="dxa"/>
            <w:vMerge w:val="restart"/>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露天高边坡采矿法（高差</w:t>
            </w:r>
            <w:r>
              <w:rPr>
                <w:rFonts w:ascii="Times New Roman" w:hAnsi="Times New Roman" w:eastAsia="仿宋" w:cs="Times New Roman"/>
                <w:kern w:val="0"/>
                <w:sz w:val="24"/>
                <w:szCs w:val="24"/>
              </w:rPr>
              <w:t>≤15</w:t>
            </w:r>
            <w:r>
              <w:rPr>
                <w:rFonts w:ascii="Times New Roman" w:hAnsi="仿宋" w:eastAsia="仿宋" w:cs="Times New Roman"/>
                <w:kern w:val="0"/>
                <w:sz w:val="24"/>
                <w:szCs w:val="24"/>
              </w:rPr>
              <w:t>米）</w:t>
            </w:r>
          </w:p>
        </w:tc>
        <w:tc>
          <w:tcPr>
            <w:tcW w:w="1418" w:type="dxa"/>
            <w:vMerge w:val="restart"/>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露天高边坡采矿法（高差</w:t>
            </w:r>
            <w:r>
              <w:rPr>
                <w:rFonts w:hint="eastAsia" w:ascii="Times New Roman" w:hAnsi="Times New Roman" w:eastAsia="仿宋" w:cs="Times New Roman"/>
                <w:kern w:val="0"/>
                <w:sz w:val="24"/>
                <w:szCs w:val="24"/>
              </w:rPr>
              <w:t>&gt;</w:t>
            </w:r>
            <w:r>
              <w:rPr>
                <w:rFonts w:ascii="Times New Roman" w:hAnsi="Times New Roman" w:eastAsia="仿宋" w:cs="Times New Roman"/>
                <w:kern w:val="0"/>
                <w:sz w:val="24"/>
                <w:szCs w:val="24"/>
              </w:rPr>
              <w:t>15</w:t>
            </w:r>
            <w:r>
              <w:rPr>
                <w:rFonts w:ascii="Times New Roman" w:hAnsi="仿宋" w:eastAsia="仿宋" w:cs="Times New Roman"/>
                <w:kern w:val="0"/>
                <w:sz w:val="24"/>
                <w:szCs w:val="24"/>
              </w:rPr>
              <w:t>米）</w:t>
            </w:r>
          </w:p>
        </w:tc>
        <w:tc>
          <w:tcPr>
            <w:tcW w:w="1234" w:type="dxa"/>
            <w:vMerge w:val="restart"/>
            <w:shd w:val="clear" w:color="auto" w:fill="auto"/>
            <w:vAlign w:val="center"/>
          </w:tcPr>
          <w:p>
            <w:pPr>
              <w:widowControl/>
              <w:spacing w:line="300" w:lineRule="exact"/>
              <w:jc w:val="center"/>
              <w:rPr>
                <w:rFonts w:ascii="Times New Roman" w:hAnsi="Times New Roman" w:eastAsia="仿宋" w:cs="Times New Roman"/>
                <w:kern w:val="0"/>
                <w:sz w:val="24"/>
                <w:szCs w:val="24"/>
                <w:highlight w:val="none"/>
              </w:rPr>
            </w:pPr>
            <w:r>
              <w:rPr>
                <w:rFonts w:ascii="Times New Roman" w:hAnsi="仿宋" w:eastAsia="仿宋" w:cs="Times New Roman"/>
                <w:kern w:val="0"/>
                <w:sz w:val="24"/>
                <w:szCs w:val="24"/>
                <w:highlight w:val="none"/>
              </w:rPr>
              <w:t>不允许</w:t>
            </w:r>
          </w:p>
          <w:p>
            <w:pPr>
              <w:widowControl/>
              <w:spacing w:line="300" w:lineRule="exact"/>
              <w:jc w:val="center"/>
              <w:rPr>
                <w:rFonts w:ascii="Times New Roman" w:hAnsi="Times New Roman" w:eastAsia="仿宋" w:cs="Times New Roman"/>
                <w:kern w:val="0"/>
                <w:sz w:val="24"/>
                <w:szCs w:val="24"/>
                <w:highlight w:val="none"/>
                <w:lang w:val="en-US" w:eastAsia="zh-CN" w:bidi="ar-SA"/>
              </w:rPr>
            </w:pPr>
            <w:r>
              <w:rPr>
                <w:rFonts w:ascii="Times New Roman" w:hAnsi="仿宋" w:eastAsia="仿宋" w:cs="Times New Roman"/>
                <w:kern w:val="0"/>
                <w:sz w:val="24"/>
                <w:szCs w:val="24"/>
                <w:highlight w:val="none"/>
              </w:rPr>
              <w:t>地表塌落</w:t>
            </w:r>
          </w:p>
        </w:tc>
        <w:tc>
          <w:tcPr>
            <w:tcW w:w="2008" w:type="dxa"/>
            <w:gridSpan w:val="2"/>
            <w:vAlign w:val="center"/>
          </w:tcPr>
          <w:p>
            <w:pPr>
              <w:widowControl/>
              <w:spacing w:line="300" w:lineRule="exact"/>
              <w:jc w:val="center"/>
              <w:rPr>
                <w:rFonts w:ascii="Times New Roman" w:hAnsi="仿宋" w:eastAsia="仿宋" w:cs="Times New Roman"/>
                <w:kern w:val="0"/>
                <w:sz w:val="24"/>
                <w:szCs w:val="24"/>
              </w:rPr>
            </w:pPr>
            <w:r>
              <w:rPr>
                <w:rFonts w:ascii="Times New Roman" w:hAnsi="仿宋" w:eastAsia="仿宋" w:cs="Times New Roman"/>
                <w:kern w:val="0"/>
                <w:sz w:val="24"/>
                <w:szCs w:val="24"/>
              </w:rPr>
              <w:t>允许塌落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75" w:type="dxa"/>
            <w:vMerge w:val="continue"/>
            <w:shd w:val="clear" w:color="auto" w:fill="auto"/>
            <w:vAlign w:val="center"/>
          </w:tcPr>
          <w:p>
            <w:pPr>
              <w:widowControl/>
              <w:spacing w:line="300" w:lineRule="exact"/>
              <w:jc w:val="center"/>
              <w:rPr>
                <w:rFonts w:ascii="Times New Roman" w:hAnsi="仿宋" w:eastAsia="仿宋" w:cs="Times New Roman"/>
                <w:kern w:val="0"/>
                <w:sz w:val="24"/>
                <w:szCs w:val="24"/>
              </w:rPr>
            </w:pPr>
          </w:p>
        </w:tc>
        <w:tc>
          <w:tcPr>
            <w:tcW w:w="850" w:type="dxa"/>
            <w:vMerge w:val="continue"/>
            <w:vAlign w:val="center"/>
          </w:tcPr>
          <w:p>
            <w:pPr>
              <w:widowControl/>
              <w:spacing w:line="300" w:lineRule="exact"/>
              <w:jc w:val="center"/>
              <w:rPr>
                <w:rFonts w:ascii="Times New Roman" w:hAnsi="仿宋" w:eastAsia="仿宋" w:cs="Times New Roman"/>
                <w:kern w:val="0"/>
                <w:sz w:val="24"/>
                <w:szCs w:val="24"/>
              </w:rPr>
            </w:pPr>
          </w:p>
        </w:tc>
        <w:tc>
          <w:tcPr>
            <w:tcW w:w="1795" w:type="dxa"/>
            <w:vMerge w:val="continue"/>
            <w:shd w:val="clear" w:color="auto" w:fill="auto"/>
            <w:vAlign w:val="center"/>
          </w:tcPr>
          <w:p>
            <w:pPr>
              <w:widowControl/>
              <w:spacing w:line="300" w:lineRule="exact"/>
              <w:jc w:val="center"/>
              <w:rPr>
                <w:rFonts w:ascii="Times New Roman" w:hAnsi="仿宋" w:eastAsia="仿宋" w:cs="Times New Roman"/>
                <w:kern w:val="0"/>
                <w:sz w:val="24"/>
                <w:szCs w:val="24"/>
              </w:rPr>
            </w:pPr>
          </w:p>
        </w:tc>
        <w:tc>
          <w:tcPr>
            <w:tcW w:w="1418" w:type="dxa"/>
            <w:vMerge w:val="continue"/>
            <w:shd w:val="clear" w:color="auto" w:fill="auto"/>
            <w:vAlign w:val="center"/>
          </w:tcPr>
          <w:p>
            <w:pPr>
              <w:widowControl/>
              <w:spacing w:line="300" w:lineRule="exact"/>
              <w:jc w:val="center"/>
              <w:rPr>
                <w:rFonts w:ascii="Times New Roman" w:hAnsi="仿宋" w:eastAsia="仿宋" w:cs="Times New Roman"/>
                <w:kern w:val="0"/>
                <w:sz w:val="24"/>
                <w:szCs w:val="24"/>
              </w:rPr>
            </w:pPr>
          </w:p>
        </w:tc>
        <w:tc>
          <w:tcPr>
            <w:tcW w:w="1234" w:type="dxa"/>
            <w:vMerge w:val="continue"/>
            <w:shd w:val="clear" w:color="auto" w:fill="auto"/>
            <w:vAlign w:val="center"/>
          </w:tcPr>
          <w:p>
            <w:pPr>
              <w:widowControl/>
              <w:spacing w:line="300" w:lineRule="exact"/>
              <w:jc w:val="center"/>
              <w:rPr>
                <w:rFonts w:ascii="Times New Roman" w:hAnsi="Times New Roman" w:eastAsia="仿宋" w:cs="Times New Roman"/>
                <w:kern w:val="0"/>
                <w:sz w:val="24"/>
                <w:szCs w:val="24"/>
                <w:highlight w:val="none"/>
                <w:lang w:val="en-US" w:eastAsia="zh-CN" w:bidi="ar-SA"/>
              </w:rPr>
            </w:pPr>
          </w:p>
        </w:tc>
        <w:tc>
          <w:tcPr>
            <w:tcW w:w="980" w:type="dxa"/>
            <w:vAlign w:val="center"/>
          </w:tcPr>
          <w:p>
            <w:pPr>
              <w:spacing w:line="300" w:lineRule="exact"/>
              <w:jc w:val="center"/>
              <w:rPr>
                <w:rFonts w:ascii="Times New Roman" w:hAnsi="仿宋" w:eastAsia="仿宋" w:cs="Times New Roman"/>
                <w:kern w:val="0"/>
                <w:sz w:val="24"/>
                <w:szCs w:val="24"/>
              </w:rPr>
            </w:pPr>
            <w:r>
              <w:rPr>
                <w:rFonts w:hint="eastAsia" w:ascii="Times New Roman" w:hAnsi="仿宋" w:eastAsia="仿宋" w:cs="Times New Roman"/>
                <w:kern w:val="0"/>
                <w:sz w:val="24"/>
                <w:szCs w:val="24"/>
              </w:rPr>
              <w:t>空场法</w:t>
            </w:r>
          </w:p>
        </w:tc>
        <w:tc>
          <w:tcPr>
            <w:tcW w:w="1028" w:type="dxa"/>
            <w:vAlign w:val="center"/>
          </w:tcPr>
          <w:p>
            <w:pPr>
              <w:widowControl/>
              <w:spacing w:line="300" w:lineRule="exact"/>
              <w:jc w:val="center"/>
              <w:rPr>
                <w:rFonts w:ascii="Times New Roman" w:hAnsi="仿宋" w:eastAsia="仿宋" w:cs="Times New Roman"/>
                <w:kern w:val="0"/>
                <w:sz w:val="24"/>
                <w:szCs w:val="24"/>
              </w:rPr>
            </w:pPr>
            <w:r>
              <w:rPr>
                <w:rFonts w:hint="eastAsia" w:ascii="Times New Roman" w:hAnsi="仿宋" w:eastAsia="仿宋" w:cs="Times New Roman"/>
                <w:kern w:val="0"/>
                <w:sz w:val="24"/>
                <w:szCs w:val="24"/>
              </w:rPr>
              <w:t>崩落法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775" w:type="dxa"/>
            <w:vMerge w:val="continue"/>
            <w:vAlign w:val="center"/>
          </w:tcPr>
          <w:p>
            <w:pPr>
              <w:widowControl/>
              <w:spacing w:line="300" w:lineRule="exact"/>
              <w:jc w:val="left"/>
              <w:rPr>
                <w:rFonts w:ascii="Times New Roman" w:hAnsi="Times New Roman" w:eastAsia="仿宋" w:cs="Times New Roman"/>
                <w:kern w:val="0"/>
                <w:sz w:val="24"/>
                <w:szCs w:val="24"/>
              </w:rPr>
            </w:pPr>
          </w:p>
        </w:tc>
        <w:tc>
          <w:tcPr>
            <w:tcW w:w="850" w:type="dxa"/>
            <w:vAlign w:val="center"/>
          </w:tcPr>
          <w:p>
            <w:pPr>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开采系数</w:t>
            </w:r>
          </w:p>
        </w:tc>
        <w:tc>
          <w:tcPr>
            <w:tcW w:w="1795" w:type="dxa"/>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2.5</w:t>
            </w:r>
          </w:p>
        </w:tc>
        <w:tc>
          <w:tcPr>
            <w:tcW w:w="1418" w:type="dxa"/>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3</w:t>
            </w:r>
          </w:p>
        </w:tc>
        <w:tc>
          <w:tcPr>
            <w:tcW w:w="1234" w:type="dxa"/>
            <w:shd w:val="clear" w:color="auto" w:fill="auto"/>
            <w:vAlign w:val="center"/>
          </w:tcPr>
          <w:p>
            <w:pPr>
              <w:widowControl/>
              <w:spacing w:line="300" w:lineRule="exact"/>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0.5</w:t>
            </w:r>
          </w:p>
        </w:tc>
        <w:tc>
          <w:tcPr>
            <w:tcW w:w="980" w:type="dxa"/>
            <w:vAlign w:val="center"/>
          </w:tcPr>
          <w:p>
            <w:pPr>
              <w:spacing w:line="300" w:lineRule="exac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1.0</w:t>
            </w:r>
          </w:p>
        </w:tc>
        <w:tc>
          <w:tcPr>
            <w:tcW w:w="1028" w:type="dxa"/>
            <w:vAlign w:val="center"/>
          </w:tcPr>
          <w:p>
            <w:pPr>
              <w:spacing w:line="300" w:lineRule="exac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75" w:type="dxa"/>
            <w:vMerge w:val="restart"/>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非金属</w:t>
            </w:r>
          </w:p>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矿产</w:t>
            </w:r>
          </w:p>
        </w:tc>
        <w:tc>
          <w:tcPr>
            <w:tcW w:w="850" w:type="dxa"/>
            <w:vAlign w:val="center"/>
          </w:tcPr>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开采方</w:t>
            </w:r>
            <w:r>
              <w:rPr>
                <w:rFonts w:hint="eastAsia" w:ascii="Times New Roman" w:hAnsi="仿宋" w:eastAsia="仿宋" w:cs="Times New Roman"/>
                <w:kern w:val="0"/>
                <w:sz w:val="24"/>
                <w:szCs w:val="24"/>
                <w:lang w:val="en-US" w:eastAsia="zh-CN"/>
              </w:rPr>
              <w:t>法</w:t>
            </w:r>
          </w:p>
        </w:tc>
        <w:tc>
          <w:tcPr>
            <w:tcW w:w="1795" w:type="dxa"/>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露天高边坡采矿法（高差</w:t>
            </w:r>
            <w:r>
              <w:rPr>
                <w:rFonts w:ascii="Times New Roman" w:hAnsi="Times New Roman" w:eastAsia="仿宋" w:cs="Times New Roman"/>
                <w:kern w:val="0"/>
                <w:sz w:val="24"/>
                <w:szCs w:val="24"/>
              </w:rPr>
              <w:t>≤15</w:t>
            </w:r>
            <w:r>
              <w:rPr>
                <w:rFonts w:ascii="Times New Roman" w:hAnsi="仿宋" w:eastAsia="仿宋" w:cs="Times New Roman"/>
                <w:kern w:val="0"/>
                <w:sz w:val="24"/>
                <w:szCs w:val="24"/>
              </w:rPr>
              <w:t>米）</w:t>
            </w:r>
          </w:p>
        </w:tc>
        <w:tc>
          <w:tcPr>
            <w:tcW w:w="1418" w:type="dxa"/>
            <w:shd w:val="clear" w:color="auto" w:fill="auto"/>
          </w:tcPr>
          <w:p>
            <w:pPr>
              <w:spacing w:line="300" w:lineRule="exact"/>
              <w:jc w:val="center"/>
              <w:rPr>
                <w:rFonts w:ascii="Times New Roman" w:hAnsi="Times New Roman" w:eastAsia="仿宋" w:cs="Times New Roman"/>
                <w:sz w:val="24"/>
                <w:szCs w:val="24"/>
              </w:rPr>
            </w:pPr>
            <w:r>
              <w:rPr>
                <w:rFonts w:ascii="Times New Roman" w:hAnsi="仿宋" w:eastAsia="仿宋" w:cs="Times New Roman"/>
                <w:kern w:val="0"/>
                <w:sz w:val="24"/>
                <w:szCs w:val="24"/>
              </w:rPr>
              <w:t>露天高边坡采矿法（高差</w:t>
            </w:r>
            <w:r>
              <w:rPr>
                <w:rFonts w:hint="eastAsia" w:ascii="Times New Roman" w:hAnsi="Times New Roman" w:eastAsia="仿宋" w:cs="Times New Roman"/>
                <w:kern w:val="0"/>
                <w:sz w:val="24"/>
                <w:szCs w:val="24"/>
              </w:rPr>
              <w:t>&gt;</w:t>
            </w:r>
            <w:r>
              <w:rPr>
                <w:rFonts w:ascii="Times New Roman" w:hAnsi="Times New Roman" w:eastAsia="仿宋" w:cs="Times New Roman"/>
                <w:kern w:val="0"/>
                <w:sz w:val="24"/>
                <w:szCs w:val="24"/>
              </w:rPr>
              <w:t>15</w:t>
            </w:r>
            <w:r>
              <w:rPr>
                <w:rFonts w:ascii="Times New Roman" w:hAnsi="仿宋" w:eastAsia="仿宋" w:cs="Times New Roman"/>
                <w:kern w:val="0"/>
                <w:sz w:val="24"/>
                <w:szCs w:val="24"/>
              </w:rPr>
              <w:t>米）</w:t>
            </w:r>
          </w:p>
        </w:tc>
        <w:tc>
          <w:tcPr>
            <w:tcW w:w="1234" w:type="dxa"/>
            <w:shd w:val="clear" w:color="auto" w:fill="auto"/>
            <w:vAlign w:val="center"/>
          </w:tcPr>
          <w:p>
            <w:pPr>
              <w:widowControl/>
              <w:spacing w:line="300" w:lineRule="exact"/>
              <w:jc w:val="center"/>
              <w:rPr>
                <w:rFonts w:ascii="Times New Roman" w:hAnsi="Times New Roman" w:eastAsia="仿宋" w:cs="Times New Roman"/>
                <w:kern w:val="0"/>
                <w:sz w:val="24"/>
                <w:szCs w:val="24"/>
                <w:highlight w:val="none"/>
              </w:rPr>
            </w:pPr>
            <w:r>
              <w:rPr>
                <w:rFonts w:ascii="Times New Roman" w:hAnsi="仿宋" w:eastAsia="仿宋" w:cs="Times New Roman"/>
                <w:kern w:val="0"/>
                <w:sz w:val="24"/>
                <w:szCs w:val="24"/>
                <w:highlight w:val="none"/>
              </w:rPr>
              <w:t>不允许</w:t>
            </w:r>
          </w:p>
          <w:p>
            <w:pPr>
              <w:widowControl/>
              <w:spacing w:line="300" w:lineRule="exact"/>
              <w:jc w:val="center"/>
              <w:rPr>
                <w:rFonts w:ascii="Times New Roman" w:hAnsi="Times New Roman" w:eastAsia="仿宋" w:cs="Times New Roman"/>
                <w:kern w:val="0"/>
                <w:sz w:val="24"/>
                <w:szCs w:val="24"/>
                <w:highlight w:val="none"/>
              </w:rPr>
            </w:pPr>
            <w:r>
              <w:rPr>
                <w:rFonts w:ascii="Times New Roman" w:hAnsi="仿宋" w:eastAsia="仿宋" w:cs="Times New Roman"/>
                <w:kern w:val="0"/>
                <w:sz w:val="24"/>
                <w:szCs w:val="24"/>
                <w:highlight w:val="none"/>
              </w:rPr>
              <w:t>地表塌落</w:t>
            </w:r>
          </w:p>
        </w:tc>
        <w:tc>
          <w:tcPr>
            <w:tcW w:w="2008" w:type="dxa"/>
            <w:gridSpan w:val="2"/>
            <w:vAlign w:val="center"/>
          </w:tcPr>
          <w:p>
            <w:pPr>
              <w:widowControl/>
              <w:spacing w:line="300" w:lineRule="exact"/>
              <w:jc w:val="center"/>
              <w:rPr>
                <w:rFonts w:ascii="Times New Roman" w:hAnsi="仿宋" w:eastAsia="仿宋" w:cs="Times New Roman"/>
                <w:kern w:val="0"/>
                <w:sz w:val="24"/>
                <w:szCs w:val="24"/>
              </w:rPr>
            </w:pPr>
            <w:r>
              <w:rPr>
                <w:rFonts w:ascii="Times New Roman" w:hAnsi="仿宋" w:eastAsia="仿宋" w:cs="Times New Roman"/>
                <w:kern w:val="0"/>
                <w:sz w:val="24"/>
                <w:szCs w:val="24"/>
              </w:rPr>
              <w:t>允许地表塌落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continue"/>
            <w:vAlign w:val="center"/>
          </w:tcPr>
          <w:p>
            <w:pPr>
              <w:widowControl/>
              <w:spacing w:line="300" w:lineRule="exact"/>
              <w:jc w:val="left"/>
              <w:rPr>
                <w:rFonts w:ascii="Times New Roman" w:hAnsi="Times New Roman" w:eastAsia="仿宋" w:cs="Times New Roman"/>
                <w:kern w:val="0"/>
                <w:sz w:val="24"/>
                <w:szCs w:val="24"/>
              </w:rPr>
            </w:pPr>
          </w:p>
        </w:tc>
        <w:tc>
          <w:tcPr>
            <w:tcW w:w="850" w:type="dxa"/>
            <w:vAlign w:val="center"/>
          </w:tcPr>
          <w:p>
            <w:pPr>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开采系数</w:t>
            </w:r>
          </w:p>
        </w:tc>
        <w:tc>
          <w:tcPr>
            <w:tcW w:w="1795" w:type="dxa"/>
            <w:shd w:val="clear" w:color="auto" w:fill="auto"/>
            <w:vAlign w:val="center"/>
          </w:tcPr>
          <w:p>
            <w:pPr>
              <w:widowControl/>
              <w:spacing w:line="300" w:lineRule="exac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2.5</w:t>
            </w:r>
          </w:p>
        </w:tc>
        <w:tc>
          <w:tcPr>
            <w:tcW w:w="1418" w:type="dxa"/>
            <w:shd w:val="clear" w:color="auto" w:fill="auto"/>
            <w:vAlign w:val="center"/>
          </w:tcPr>
          <w:p>
            <w:pPr>
              <w:spacing w:line="300" w:lineRule="exact"/>
              <w:jc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3</w:t>
            </w:r>
          </w:p>
        </w:tc>
        <w:tc>
          <w:tcPr>
            <w:tcW w:w="1234" w:type="dxa"/>
            <w:shd w:val="clear" w:color="auto" w:fill="auto"/>
            <w:vAlign w:val="center"/>
          </w:tcPr>
          <w:p>
            <w:pPr>
              <w:widowControl/>
              <w:spacing w:line="300" w:lineRule="exact"/>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0.5</w:t>
            </w:r>
          </w:p>
        </w:tc>
        <w:tc>
          <w:tcPr>
            <w:tcW w:w="2008" w:type="dxa"/>
            <w:gridSpan w:val="2"/>
            <w:vAlign w:val="center"/>
          </w:tcPr>
          <w:p>
            <w:pPr>
              <w:spacing w:line="300" w:lineRule="exac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75" w:type="dxa"/>
            <w:shd w:val="clear" w:color="auto" w:fill="auto"/>
            <w:vAlign w:val="bottom"/>
          </w:tcPr>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水汽</w:t>
            </w:r>
          </w:p>
          <w:p>
            <w:pPr>
              <w:widowControl/>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矿产</w:t>
            </w:r>
          </w:p>
        </w:tc>
        <w:tc>
          <w:tcPr>
            <w:tcW w:w="850" w:type="dxa"/>
            <w:vAlign w:val="center"/>
          </w:tcPr>
          <w:p>
            <w:pPr>
              <w:spacing w:line="30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开采系数</w:t>
            </w:r>
          </w:p>
        </w:tc>
        <w:tc>
          <w:tcPr>
            <w:tcW w:w="6455" w:type="dxa"/>
            <w:gridSpan w:val="5"/>
            <w:shd w:val="clear" w:color="auto" w:fill="auto"/>
            <w:vAlign w:val="center"/>
          </w:tcPr>
          <w:p>
            <w:pPr>
              <w:spacing w:line="30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w:t>
            </w:r>
          </w:p>
        </w:tc>
      </w:tr>
    </w:tbl>
    <w:p>
      <w:pPr>
        <w:widowControl/>
        <w:snapToGrid w:val="0"/>
        <w:spacing w:line="60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三、</w:t>
      </w:r>
      <w:r>
        <w:rPr>
          <w:rFonts w:ascii="黑体" w:hAnsi="黑体" w:eastAsia="黑体" w:cs="Times New Roman"/>
          <w:kern w:val="0"/>
          <w:sz w:val="32"/>
          <w:szCs w:val="32"/>
        </w:rPr>
        <w:t>地区系数</w:t>
      </w:r>
    </w:p>
    <w:p>
      <w:pPr>
        <w:widowControl/>
        <w:snapToGrid w:val="0"/>
        <w:ind w:firstLine="640" w:firstLineChars="200"/>
        <w:rPr>
          <w:rFonts w:ascii="仿宋_GB2312" w:hAnsi="Times New Roman" w:eastAsia="仿宋_GB2312" w:cs="Times New Roman"/>
          <w:kern w:val="0"/>
          <w:sz w:val="32"/>
          <w:szCs w:val="32"/>
          <w:highlight w:val="none"/>
        </w:rPr>
      </w:pPr>
      <w:r>
        <w:rPr>
          <w:rFonts w:hint="eastAsia" w:ascii="仿宋_GB2312" w:hAnsi="Times New Roman" w:eastAsia="仿宋_GB2312" w:cs="Times New Roman"/>
          <w:kern w:val="0"/>
          <w:sz w:val="32"/>
          <w:szCs w:val="32"/>
          <w:highlight w:val="none"/>
        </w:rPr>
        <w:t>根据地区差异，地区系数取值见表3。</w:t>
      </w:r>
    </w:p>
    <w:p>
      <w:pPr>
        <w:spacing w:line="360" w:lineRule="auto"/>
        <w:jc w:val="center"/>
        <w:rPr>
          <w:rFonts w:ascii="Times New Roman" w:hAnsi="仿宋" w:eastAsia="仿宋" w:cs="Times New Roman"/>
          <w:b/>
          <w:kern w:val="0"/>
          <w:sz w:val="28"/>
          <w:szCs w:val="28"/>
          <w:highlight w:val="none"/>
        </w:rPr>
      </w:pPr>
      <w:r>
        <w:rPr>
          <w:rFonts w:hint="eastAsia" w:ascii="Times New Roman" w:hAnsi="仿宋" w:eastAsia="仿宋" w:cs="Times New Roman"/>
          <w:b/>
          <w:kern w:val="0"/>
          <w:sz w:val="28"/>
          <w:szCs w:val="28"/>
          <w:highlight w:val="none"/>
        </w:rPr>
        <w:t xml:space="preserve">表3  </w:t>
      </w:r>
      <w:r>
        <w:rPr>
          <w:rFonts w:ascii="Times New Roman" w:hAnsi="仿宋" w:eastAsia="仿宋" w:cs="Times New Roman"/>
          <w:b/>
          <w:kern w:val="0"/>
          <w:sz w:val="28"/>
          <w:szCs w:val="28"/>
          <w:highlight w:val="none"/>
        </w:rPr>
        <w:t>基金计提</w:t>
      </w:r>
      <w:r>
        <w:rPr>
          <w:rFonts w:hint="eastAsia" w:ascii="Times New Roman" w:hAnsi="仿宋" w:eastAsia="仿宋" w:cs="Times New Roman"/>
          <w:b/>
          <w:kern w:val="0"/>
          <w:sz w:val="28"/>
          <w:szCs w:val="28"/>
          <w:highlight w:val="none"/>
        </w:rPr>
        <w:t>地区系数</w:t>
      </w:r>
    </w:p>
    <w:tbl>
      <w:tblPr>
        <w:tblStyle w:val="11"/>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1315"/>
        <w:gridCol w:w="5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2135" w:type="dxa"/>
            <w:vAlign w:val="center"/>
          </w:tcPr>
          <w:p>
            <w:pPr>
              <w:widowControl/>
              <w:spacing w:line="440" w:lineRule="exact"/>
              <w:jc w:val="center"/>
              <w:rPr>
                <w:rFonts w:ascii="Times New Roman" w:hAnsi="仿宋" w:eastAsia="仿宋" w:cs="Times New Roman"/>
                <w:kern w:val="0"/>
                <w:sz w:val="24"/>
                <w:szCs w:val="24"/>
                <w:highlight w:val="none"/>
              </w:rPr>
            </w:pPr>
            <w:r>
              <w:rPr>
                <w:rFonts w:hint="eastAsia" w:ascii="Times New Roman" w:hAnsi="仿宋" w:eastAsia="仿宋" w:cs="Times New Roman"/>
                <w:kern w:val="0"/>
                <w:sz w:val="24"/>
                <w:szCs w:val="24"/>
                <w:highlight w:val="none"/>
              </w:rPr>
              <w:t>区域</w:t>
            </w:r>
          </w:p>
        </w:tc>
        <w:tc>
          <w:tcPr>
            <w:tcW w:w="1315" w:type="dxa"/>
            <w:vAlign w:val="center"/>
          </w:tcPr>
          <w:p>
            <w:pPr>
              <w:widowControl/>
              <w:spacing w:line="440" w:lineRule="exact"/>
              <w:jc w:val="center"/>
              <w:rPr>
                <w:rFonts w:ascii="Times New Roman" w:hAnsi="仿宋" w:eastAsia="仿宋" w:cs="Times New Roman"/>
                <w:kern w:val="0"/>
                <w:sz w:val="24"/>
                <w:szCs w:val="24"/>
                <w:highlight w:val="none"/>
              </w:rPr>
            </w:pPr>
            <w:r>
              <w:rPr>
                <w:rFonts w:hint="eastAsia" w:ascii="Times New Roman" w:hAnsi="仿宋" w:eastAsia="仿宋" w:cs="Times New Roman"/>
                <w:kern w:val="0"/>
                <w:sz w:val="24"/>
                <w:szCs w:val="24"/>
                <w:highlight w:val="none"/>
              </w:rPr>
              <w:t>区域系数</w:t>
            </w:r>
          </w:p>
        </w:tc>
        <w:tc>
          <w:tcPr>
            <w:tcW w:w="5510" w:type="dxa"/>
            <w:vAlign w:val="center"/>
          </w:tcPr>
          <w:p>
            <w:pPr>
              <w:widowControl/>
              <w:spacing w:line="440" w:lineRule="exact"/>
              <w:jc w:val="center"/>
              <w:rPr>
                <w:rFonts w:ascii="Times New Roman" w:hAnsi="仿宋" w:eastAsia="仿宋" w:cs="Times New Roman"/>
                <w:kern w:val="0"/>
                <w:sz w:val="24"/>
                <w:szCs w:val="24"/>
                <w:highlight w:val="none"/>
              </w:rPr>
            </w:pPr>
            <w:r>
              <w:rPr>
                <w:rFonts w:hint="eastAsia" w:ascii="Times New Roman" w:hAnsi="仿宋" w:eastAsia="仿宋" w:cs="Times New Roman"/>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35" w:type="dxa"/>
            <w:vAlign w:val="center"/>
          </w:tcPr>
          <w:p>
            <w:pPr>
              <w:widowControl/>
              <w:spacing w:line="440" w:lineRule="exact"/>
              <w:jc w:val="center"/>
              <w:rPr>
                <w:rFonts w:hint="default" w:ascii="Times New Roman" w:hAnsi="仿宋" w:eastAsia="仿宋" w:cs="Times New Roman"/>
                <w:color w:val="auto"/>
                <w:kern w:val="0"/>
                <w:sz w:val="24"/>
                <w:szCs w:val="24"/>
                <w:highlight w:val="none"/>
                <w:lang w:val="en-US" w:eastAsia="zh-CN"/>
              </w:rPr>
            </w:pPr>
            <w:r>
              <w:rPr>
                <w:rFonts w:hint="eastAsia" w:ascii="Times New Roman" w:hAnsi="仿宋" w:eastAsia="仿宋" w:cs="Times New Roman"/>
                <w:color w:val="auto"/>
                <w:kern w:val="0"/>
                <w:sz w:val="24"/>
                <w:szCs w:val="24"/>
                <w:highlight w:val="none"/>
                <w:lang w:val="en-US" w:eastAsia="zh-CN"/>
              </w:rPr>
              <w:t>陕南秦巴山地区</w:t>
            </w:r>
          </w:p>
        </w:tc>
        <w:tc>
          <w:tcPr>
            <w:tcW w:w="1315" w:type="dxa"/>
            <w:vAlign w:val="center"/>
          </w:tcPr>
          <w:p>
            <w:pPr>
              <w:widowControl/>
              <w:spacing w:line="440" w:lineRule="exact"/>
              <w:jc w:val="center"/>
              <w:rPr>
                <w:rFonts w:hint="eastAsia" w:ascii="Times New Roman" w:hAnsi="仿宋" w:eastAsia="仿宋" w:cs="Times New Roman"/>
                <w:color w:val="auto"/>
                <w:kern w:val="0"/>
                <w:sz w:val="24"/>
                <w:szCs w:val="24"/>
                <w:highlight w:val="none"/>
                <w:lang w:eastAsia="zh-CN"/>
              </w:rPr>
            </w:pPr>
            <w:r>
              <w:rPr>
                <w:rFonts w:hint="eastAsia" w:ascii="Times New Roman" w:hAnsi="仿宋" w:eastAsia="仿宋" w:cs="Times New Roman"/>
                <w:color w:val="auto"/>
                <w:kern w:val="0"/>
                <w:sz w:val="24"/>
                <w:szCs w:val="24"/>
                <w:highlight w:val="none"/>
              </w:rPr>
              <w:t>1.</w:t>
            </w:r>
            <w:r>
              <w:rPr>
                <w:rFonts w:hint="eastAsia" w:ascii="Times New Roman" w:hAnsi="仿宋" w:eastAsia="仿宋" w:cs="Times New Roman"/>
                <w:color w:val="auto"/>
                <w:kern w:val="0"/>
                <w:sz w:val="24"/>
                <w:szCs w:val="24"/>
                <w:highlight w:val="none"/>
                <w:lang w:val="en-US" w:eastAsia="zh-CN"/>
              </w:rPr>
              <w:t>3</w:t>
            </w:r>
          </w:p>
        </w:tc>
        <w:tc>
          <w:tcPr>
            <w:tcW w:w="5510" w:type="dxa"/>
            <w:vAlign w:val="center"/>
          </w:tcPr>
          <w:p>
            <w:pPr>
              <w:widowControl/>
              <w:spacing w:line="440" w:lineRule="exact"/>
              <w:jc w:val="both"/>
              <w:rPr>
                <w:rFonts w:hint="default" w:ascii="Times New Roman" w:hAnsi="仿宋" w:eastAsia="仿宋" w:cs="Times New Roman"/>
                <w:color w:val="auto"/>
                <w:kern w:val="0"/>
                <w:sz w:val="24"/>
                <w:szCs w:val="24"/>
                <w:highlight w:val="none"/>
                <w:lang w:val="en-US" w:eastAsia="zh-CN"/>
              </w:rPr>
            </w:pPr>
            <w:r>
              <w:rPr>
                <w:rFonts w:hint="eastAsia" w:ascii="Times New Roman" w:hAnsi="仿宋" w:eastAsia="仿宋" w:cs="Times New Roman"/>
                <w:color w:val="auto"/>
                <w:kern w:val="0"/>
                <w:sz w:val="24"/>
                <w:szCs w:val="24"/>
                <w:highlight w:val="none"/>
                <w:lang w:val="en-US" w:eastAsia="zh-CN"/>
              </w:rPr>
              <w:t>秦岭6市39个县区、巴山2市涉及的11县区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35" w:type="dxa"/>
            <w:vAlign w:val="center"/>
          </w:tcPr>
          <w:p>
            <w:pPr>
              <w:widowControl/>
              <w:spacing w:line="440" w:lineRule="exact"/>
              <w:jc w:val="center"/>
              <w:rPr>
                <w:rFonts w:hint="default" w:ascii="Times New Roman" w:hAnsi="仿宋" w:eastAsia="仿宋" w:cs="Times New Roman"/>
                <w:color w:val="auto"/>
                <w:kern w:val="0"/>
                <w:sz w:val="24"/>
                <w:szCs w:val="24"/>
                <w:highlight w:val="none"/>
                <w:lang w:val="en-US" w:eastAsia="zh-CN"/>
              </w:rPr>
            </w:pPr>
            <w:r>
              <w:rPr>
                <w:rFonts w:hint="eastAsia" w:ascii="Times New Roman" w:hAnsi="仿宋" w:eastAsia="仿宋" w:cs="Times New Roman"/>
                <w:color w:val="auto"/>
                <w:kern w:val="0"/>
                <w:sz w:val="24"/>
                <w:szCs w:val="24"/>
                <w:highlight w:val="none"/>
                <w:lang w:val="en-US" w:eastAsia="zh-CN"/>
              </w:rPr>
              <w:t>陕北黄土高原区</w:t>
            </w:r>
          </w:p>
        </w:tc>
        <w:tc>
          <w:tcPr>
            <w:tcW w:w="1315" w:type="dxa"/>
            <w:vAlign w:val="center"/>
          </w:tcPr>
          <w:p>
            <w:pPr>
              <w:widowControl/>
              <w:spacing w:line="440" w:lineRule="exact"/>
              <w:jc w:val="center"/>
              <w:rPr>
                <w:rFonts w:ascii="Times New Roman" w:hAnsi="仿宋" w:eastAsia="仿宋" w:cs="Times New Roman"/>
                <w:color w:val="auto"/>
                <w:kern w:val="0"/>
                <w:sz w:val="24"/>
                <w:szCs w:val="24"/>
                <w:highlight w:val="none"/>
              </w:rPr>
            </w:pPr>
            <w:r>
              <w:rPr>
                <w:rFonts w:hint="eastAsia" w:ascii="Times New Roman" w:hAnsi="仿宋" w:eastAsia="仿宋" w:cs="Times New Roman"/>
                <w:color w:val="auto"/>
                <w:kern w:val="0"/>
                <w:sz w:val="24"/>
                <w:szCs w:val="24"/>
                <w:highlight w:val="none"/>
              </w:rPr>
              <w:t>1.1</w:t>
            </w:r>
          </w:p>
        </w:tc>
        <w:tc>
          <w:tcPr>
            <w:tcW w:w="5510" w:type="dxa"/>
            <w:vAlign w:val="center"/>
          </w:tcPr>
          <w:p>
            <w:pPr>
              <w:widowControl/>
              <w:spacing w:line="440" w:lineRule="exact"/>
              <w:jc w:val="center"/>
              <w:rPr>
                <w:rFonts w:hint="default" w:ascii="Times New Roman" w:hAnsi="仿宋" w:eastAsia="仿宋" w:cs="Times New Roman"/>
                <w:color w:val="auto"/>
                <w:kern w:val="0"/>
                <w:sz w:val="24"/>
                <w:szCs w:val="24"/>
                <w:highlight w:val="none"/>
                <w:lang w:val="en-US" w:eastAsia="zh-CN"/>
              </w:rPr>
            </w:pPr>
            <w:r>
              <w:rPr>
                <w:rFonts w:hint="eastAsia" w:ascii="Times New Roman" w:hAnsi="仿宋" w:eastAsia="仿宋" w:cs="Times New Roman"/>
                <w:color w:val="auto"/>
                <w:kern w:val="0"/>
                <w:sz w:val="24"/>
                <w:szCs w:val="24"/>
                <w:highlight w:val="none"/>
                <w:lang w:val="en-US" w:eastAsia="zh-CN"/>
              </w:rPr>
              <w:t>榆林市12（县、区、市）、延安市13（县、区、市）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135" w:type="dxa"/>
            <w:vAlign w:val="center"/>
          </w:tcPr>
          <w:p>
            <w:pPr>
              <w:widowControl/>
              <w:spacing w:line="440" w:lineRule="exact"/>
              <w:jc w:val="center"/>
              <w:rPr>
                <w:rFonts w:hint="default" w:ascii="Times New Roman" w:hAnsi="仿宋" w:eastAsia="仿宋" w:cs="Times New Roman"/>
                <w:color w:val="auto"/>
                <w:kern w:val="0"/>
                <w:sz w:val="24"/>
                <w:szCs w:val="24"/>
                <w:highlight w:val="none"/>
                <w:lang w:val="en-US" w:eastAsia="zh-CN"/>
              </w:rPr>
            </w:pPr>
            <w:r>
              <w:rPr>
                <w:rFonts w:hint="eastAsia" w:ascii="Times New Roman" w:hAnsi="仿宋" w:eastAsia="仿宋" w:cs="Times New Roman"/>
                <w:color w:val="auto"/>
                <w:kern w:val="0"/>
                <w:sz w:val="24"/>
                <w:szCs w:val="24"/>
                <w:highlight w:val="none"/>
              </w:rPr>
              <w:t>关中</w:t>
            </w:r>
            <w:r>
              <w:rPr>
                <w:rFonts w:hint="eastAsia" w:ascii="Times New Roman" w:hAnsi="仿宋" w:eastAsia="仿宋" w:cs="Times New Roman"/>
                <w:color w:val="auto"/>
                <w:kern w:val="0"/>
                <w:sz w:val="24"/>
                <w:szCs w:val="24"/>
                <w:highlight w:val="none"/>
                <w:lang w:val="en-US" w:eastAsia="zh-CN"/>
              </w:rPr>
              <w:t>平原区</w:t>
            </w:r>
          </w:p>
        </w:tc>
        <w:tc>
          <w:tcPr>
            <w:tcW w:w="1315" w:type="dxa"/>
            <w:vAlign w:val="center"/>
          </w:tcPr>
          <w:p>
            <w:pPr>
              <w:widowControl/>
              <w:snapToGrid w:val="0"/>
              <w:spacing w:line="440" w:lineRule="exact"/>
              <w:jc w:val="center"/>
              <w:rPr>
                <w:rFonts w:ascii="Times New Roman" w:hAnsi="仿宋" w:eastAsia="仿宋" w:cs="Times New Roman"/>
                <w:color w:val="auto"/>
                <w:kern w:val="0"/>
                <w:sz w:val="24"/>
                <w:szCs w:val="24"/>
                <w:highlight w:val="none"/>
              </w:rPr>
            </w:pPr>
            <w:r>
              <w:rPr>
                <w:rFonts w:hint="eastAsia" w:ascii="Times New Roman" w:hAnsi="仿宋" w:eastAsia="仿宋" w:cs="Times New Roman"/>
                <w:color w:val="auto"/>
                <w:kern w:val="0"/>
                <w:sz w:val="24"/>
                <w:szCs w:val="24"/>
                <w:highlight w:val="none"/>
              </w:rPr>
              <w:t>1.0</w:t>
            </w:r>
          </w:p>
        </w:tc>
        <w:tc>
          <w:tcPr>
            <w:tcW w:w="5510" w:type="dxa"/>
            <w:vAlign w:val="center"/>
          </w:tcPr>
          <w:p>
            <w:pPr>
              <w:widowControl/>
              <w:spacing w:line="440" w:lineRule="exact"/>
              <w:jc w:val="left"/>
              <w:rPr>
                <w:rFonts w:hint="default" w:ascii="Times New Roman" w:hAnsi="仿宋" w:eastAsia="仿宋" w:cs="Times New Roman"/>
                <w:color w:val="auto"/>
                <w:kern w:val="0"/>
                <w:sz w:val="24"/>
                <w:szCs w:val="24"/>
                <w:highlight w:val="none"/>
                <w:lang w:val="en-US" w:eastAsia="zh-CN"/>
              </w:rPr>
            </w:pPr>
            <w:r>
              <w:rPr>
                <w:rFonts w:hint="eastAsia" w:ascii="Times New Roman" w:hAnsi="仿宋" w:eastAsia="仿宋" w:cs="Times New Roman"/>
                <w:color w:val="auto"/>
                <w:kern w:val="0"/>
                <w:sz w:val="24"/>
                <w:szCs w:val="24"/>
                <w:highlight w:val="none"/>
                <w:lang w:val="en-US" w:eastAsia="zh-CN"/>
              </w:rPr>
              <w:t>西安市（除秦岭区域）、宝鸡市（除秦岭区域）、咸阳市、渭南市（除秦岭区域）、铜川市、韩城市、杨凌示范区</w:t>
            </w:r>
          </w:p>
        </w:tc>
      </w:tr>
    </w:tbl>
    <w:p>
      <w:pPr>
        <w:widowControl/>
        <w:snapToGrid w:val="0"/>
        <w:spacing w:line="600" w:lineRule="exact"/>
        <w:ind w:firstLine="640" w:firstLineChars="200"/>
        <w:rPr>
          <w:rFonts w:hint="eastAsia" w:ascii="黑体" w:hAnsi="黑体" w:eastAsia="黑体" w:cs="Times New Roman"/>
          <w:kern w:val="0"/>
          <w:sz w:val="32"/>
          <w:szCs w:val="32"/>
        </w:rPr>
      </w:pPr>
    </w:p>
    <w:p>
      <w:pPr>
        <w:widowControl/>
        <w:snapToGrid w:val="0"/>
        <w:spacing w:line="600" w:lineRule="exact"/>
        <w:ind w:firstLine="640" w:firstLineChars="200"/>
        <w:rPr>
          <w:rFonts w:hint="eastAsia" w:ascii="黑体" w:hAnsi="黑体" w:eastAsia="黑体" w:cs="Times New Roman"/>
          <w:kern w:val="0"/>
          <w:sz w:val="32"/>
          <w:szCs w:val="32"/>
        </w:rPr>
      </w:pPr>
    </w:p>
    <w:p>
      <w:pPr>
        <w:widowControl/>
        <w:snapToGrid w:val="0"/>
        <w:spacing w:line="600" w:lineRule="exact"/>
        <w:ind w:firstLine="640" w:firstLineChars="200"/>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四、计算方法示例</w:t>
      </w:r>
      <w:r>
        <w:rPr>
          <w:rFonts w:hint="eastAsia" w:ascii="黑体" w:hAnsi="黑体" w:eastAsia="黑体" w:cs="Times New Roman"/>
          <w:kern w:val="0"/>
          <w:sz w:val="32"/>
          <w:szCs w:val="32"/>
          <w:lang w:eastAsia="zh-CN"/>
        </w:rPr>
        <w:t>（</w:t>
      </w:r>
      <w:r>
        <w:rPr>
          <w:rFonts w:hint="eastAsia" w:ascii="黑体" w:hAnsi="黑体" w:eastAsia="黑体" w:cs="Times New Roman"/>
          <w:kern w:val="0"/>
          <w:sz w:val="32"/>
          <w:szCs w:val="32"/>
          <w:lang w:val="en-US" w:eastAsia="zh-CN"/>
        </w:rPr>
        <w:t>煤炭</w:t>
      </w:r>
      <w:r>
        <w:rPr>
          <w:rFonts w:hint="eastAsia" w:ascii="黑体" w:hAnsi="黑体" w:eastAsia="黑体" w:cs="Times New Roman"/>
          <w:kern w:val="0"/>
          <w:sz w:val="32"/>
          <w:szCs w:val="32"/>
          <w:lang w:eastAsia="zh-CN"/>
        </w:rPr>
        <w:t>）</w:t>
      </w:r>
    </w:p>
    <w:p>
      <w:pPr>
        <w:widowControl/>
        <w:rPr>
          <w:rFonts w:ascii="Times New Roman" w:hAnsi="Times New Roman" w:eastAsia="仿宋" w:cs="Times New Roman"/>
          <w:color w:val="000000"/>
          <w:kern w:val="0"/>
          <w:sz w:val="10"/>
          <w:szCs w:val="10"/>
        </w:rPr>
      </w:pPr>
    </w:p>
    <w:tbl>
      <w:tblPr>
        <w:tblStyle w:val="10"/>
        <w:tblW w:w="85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1"/>
        <w:gridCol w:w="1112"/>
        <w:gridCol w:w="907"/>
        <w:gridCol w:w="857"/>
        <w:gridCol w:w="1450"/>
        <w:gridCol w:w="1000"/>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月销售</w:t>
            </w:r>
          </w:p>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（万吨）</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销售价（元</w:t>
            </w:r>
            <w:r>
              <w:rPr>
                <w:rFonts w:hint="default" w:ascii="Times New Roman" w:hAnsi="Times New Roman" w:eastAsia="仿宋" w:cs="Times New Roman"/>
                <w:i w:val="0"/>
                <w:iCs w:val="0"/>
                <w:color w:val="auto"/>
                <w:kern w:val="0"/>
                <w:sz w:val="24"/>
                <w:szCs w:val="24"/>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吨）</w:t>
            </w:r>
          </w:p>
        </w:tc>
        <w:tc>
          <w:tcPr>
            <w:tcW w:w="1112" w:type="dxa"/>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矿种</w:t>
            </w:r>
          </w:p>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系数</w:t>
            </w:r>
          </w:p>
        </w:tc>
        <w:tc>
          <w:tcPr>
            <w:tcW w:w="907" w:type="dxa"/>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开采</w:t>
            </w:r>
          </w:p>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系数</w:t>
            </w:r>
          </w:p>
        </w:tc>
        <w:tc>
          <w:tcPr>
            <w:tcW w:w="857" w:type="dxa"/>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地区</w:t>
            </w:r>
          </w:p>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系数</w:t>
            </w:r>
          </w:p>
        </w:tc>
        <w:tc>
          <w:tcPr>
            <w:tcW w:w="14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月提取基金（万元）</w:t>
            </w:r>
          </w:p>
        </w:tc>
        <w:tc>
          <w:tcPr>
            <w:tcW w:w="1000" w:type="dxa"/>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占销售</w:t>
            </w:r>
          </w:p>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收入</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元</w:t>
            </w:r>
            <w:r>
              <w:rPr>
                <w:rFonts w:hint="default" w:ascii="Times New Roman" w:hAnsi="Times New Roman" w:eastAsia="仿宋" w:cs="Times New Roman"/>
                <w:i w:val="0"/>
                <w:iCs w:val="0"/>
                <w:color w:val="auto"/>
                <w:kern w:val="0"/>
                <w:sz w:val="24"/>
                <w:szCs w:val="24"/>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150</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1.80%</w:t>
            </w:r>
          </w:p>
        </w:tc>
        <w:tc>
          <w:tcPr>
            <w:tcW w:w="9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4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35.64 </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2.38%</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200</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1.80%</w:t>
            </w:r>
          </w:p>
        </w:tc>
        <w:tc>
          <w:tcPr>
            <w:tcW w:w="9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4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47.52 </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2.38%</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300</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1.80%</w:t>
            </w:r>
          </w:p>
        </w:tc>
        <w:tc>
          <w:tcPr>
            <w:tcW w:w="9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4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71.28 </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2.38%</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400</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1.40%</w:t>
            </w:r>
          </w:p>
        </w:tc>
        <w:tc>
          <w:tcPr>
            <w:tcW w:w="9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4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73.92 </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1.85%</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1.40%</w:t>
            </w:r>
          </w:p>
        </w:tc>
        <w:tc>
          <w:tcPr>
            <w:tcW w:w="9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4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92.40 </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1.85%</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600</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1.20%</w:t>
            </w:r>
          </w:p>
        </w:tc>
        <w:tc>
          <w:tcPr>
            <w:tcW w:w="9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4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95.04 </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1.58%</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700</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1.20%</w:t>
            </w:r>
          </w:p>
        </w:tc>
        <w:tc>
          <w:tcPr>
            <w:tcW w:w="9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4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110.88 </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1.58%</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800</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1.20%</w:t>
            </w:r>
          </w:p>
        </w:tc>
        <w:tc>
          <w:tcPr>
            <w:tcW w:w="9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4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126.72 </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1.58%</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12.67 </w:t>
            </w:r>
          </w:p>
        </w:tc>
      </w:tr>
    </w:tbl>
    <w:p>
      <w:pPr>
        <w:widowControl/>
        <w:rPr>
          <w:rFonts w:ascii="Times New Roman" w:hAnsi="Times New Roman" w:eastAsia="仿宋" w:cs="Times New Roman"/>
          <w:color w:val="000000"/>
          <w:kern w:val="0"/>
          <w:sz w:val="10"/>
          <w:szCs w:val="10"/>
        </w:rPr>
      </w:pPr>
    </w:p>
    <w:p>
      <w:pPr>
        <w:widowControl/>
        <w:rPr>
          <w:rFonts w:ascii="Times New Roman" w:hAnsi="Times New Roman" w:eastAsia="仿宋" w:cs="Times New Roman"/>
          <w:color w:val="000000"/>
          <w:kern w:val="0"/>
          <w:sz w:val="10"/>
          <w:szCs w:val="10"/>
        </w:rPr>
      </w:pPr>
    </w:p>
    <w:p>
      <w:pPr>
        <w:widowControl/>
        <w:rPr>
          <w:rFonts w:ascii="Times New Roman" w:hAnsi="Times New Roman" w:eastAsia="仿宋" w:cs="Times New Roman"/>
          <w:color w:val="000000"/>
          <w:kern w:val="0"/>
          <w:sz w:val="10"/>
          <w:szCs w:val="10"/>
        </w:rPr>
      </w:pPr>
    </w:p>
    <w:sectPr>
      <w:headerReference r:id="rId3" w:type="default"/>
      <w:footerReference r:id="rId5" w:type="default"/>
      <w:headerReference r:id="rId4" w:type="even"/>
      <w:footerReference r:id="rId6" w:type="even"/>
      <w:pgSz w:w="11906" w:h="16838"/>
      <w:pgMar w:top="1701" w:right="1417" w:bottom="1701" w:left="141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p>
    <w:pPr>
      <w:pStyle w:val="6"/>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88454"/>
      <w:docPartObj>
        <w:docPartGallery w:val="autotext"/>
      </w:docPartObj>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6"/>
      <w:rPr>
        <w:rFonts w:asciiTheme="minorEastAsia" w:hAnsiTheme="minor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YWU2NTMyNjAwNGVjNWYxMjc5ZWQ2YTdlNDAyNzkifQ=="/>
  </w:docVars>
  <w:rsids>
    <w:rsidRoot w:val="00153A7B"/>
    <w:rsid w:val="000015E5"/>
    <w:rsid w:val="00002A65"/>
    <w:rsid w:val="00005361"/>
    <w:rsid w:val="00005BD7"/>
    <w:rsid w:val="00005DFD"/>
    <w:rsid w:val="00014240"/>
    <w:rsid w:val="00017807"/>
    <w:rsid w:val="000219B6"/>
    <w:rsid w:val="00022B5E"/>
    <w:rsid w:val="00023ECA"/>
    <w:rsid w:val="00025391"/>
    <w:rsid w:val="00025D09"/>
    <w:rsid w:val="00027CB9"/>
    <w:rsid w:val="000301E0"/>
    <w:rsid w:val="000311B7"/>
    <w:rsid w:val="00031EDA"/>
    <w:rsid w:val="000415D5"/>
    <w:rsid w:val="0004169D"/>
    <w:rsid w:val="00043E98"/>
    <w:rsid w:val="00044FAE"/>
    <w:rsid w:val="000450C1"/>
    <w:rsid w:val="00045E99"/>
    <w:rsid w:val="000471AB"/>
    <w:rsid w:val="00052F24"/>
    <w:rsid w:val="000544A2"/>
    <w:rsid w:val="00061126"/>
    <w:rsid w:val="0006156D"/>
    <w:rsid w:val="000617FC"/>
    <w:rsid w:val="00063D78"/>
    <w:rsid w:val="00063E98"/>
    <w:rsid w:val="00071976"/>
    <w:rsid w:val="0007202C"/>
    <w:rsid w:val="00081834"/>
    <w:rsid w:val="00084F7E"/>
    <w:rsid w:val="0008710F"/>
    <w:rsid w:val="000877E9"/>
    <w:rsid w:val="00092A7E"/>
    <w:rsid w:val="000931CA"/>
    <w:rsid w:val="00094FCE"/>
    <w:rsid w:val="000956E8"/>
    <w:rsid w:val="000A1520"/>
    <w:rsid w:val="000A1F32"/>
    <w:rsid w:val="000A49B7"/>
    <w:rsid w:val="000A4B86"/>
    <w:rsid w:val="000A4CCD"/>
    <w:rsid w:val="000A5404"/>
    <w:rsid w:val="000A5845"/>
    <w:rsid w:val="000B3D78"/>
    <w:rsid w:val="000C0138"/>
    <w:rsid w:val="000C6B69"/>
    <w:rsid w:val="000D60D3"/>
    <w:rsid w:val="000E3A57"/>
    <w:rsid w:val="000E4319"/>
    <w:rsid w:val="000F5E05"/>
    <w:rsid w:val="000F615A"/>
    <w:rsid w:val="000F7B43"/>
    <w:rsid w:val="0010224E"/>
    <w:rsid w:val="00102CC6"/>
    <w:rsid w:val="001041D4"/>
    <w:rsid w:val="00104D1D"/>
    <w:rsid w:val="00105085"/>
    <w:rsid w:val="00110BE9"/>
    <w:rsid w:val="0011221B"/>
    <w:rsid w:val="00115632"/>
    <w:rsid w:val="00115B8E"/>
    <w:rsid w:val="00117E75"/>
    <w:rsid w:val="001215C4"/>
    <w:rsid w:val="00125EBC"/>
    <w:rsid w:val="001272DB"/>
    <w:rsid w:val="001274A3"/>
    <w:rsid w:val="00132400"/>
    <w:rsid w:val="001346D4"/>
    <w:rsid w:val="00135E58"/>
    <w:rsid w:val="001419AC"/>
    <w:rsid w:val="00141A28"/>
    <w:rsid w:val="001424FE"/>
    <w:rsid w:val="00146BD6"/>
    <w:rsid w:val="00151DA2"/>
    <w:rsid w:val="0015237B"/>
    <w:rsid w:val="00153A7B"/>
    <w:rsid w:val="00153DB7"/>
    <w:rsid w:val="001571D6"/>
    <w:rsid w:val="00160F9A"/>
    <w:rsid w:val="001635CD"/>
    <w:rsid w:val="00163F0F"/>
    <w:rsid w:val="0016438D"/>
    <w:rsid w:val="001677AC"/>
    <w:rsid w:val="00175F51"/>
    <w:rsid w:val="0017686B"/>
    <w:rsid w:val="00191671"/>
    <w:rsid w:val="0019317F"/>
    <w:rsid w:val="00194A83"/>
    <w:rsid w:val="001961F2"/>
    <w:rsid w:val="00197873"/>
    <w:rsid w:val="001A0B2C"/>
    <w:rsid w:val="001A0C1B"/>
    <w:rsid w:val="001A178B"/>
    <w:rsid w:val="001A471F"/>
    <w:rsid w:val="001A4CA5"/>
    <w:rsid w:val="001A59AF"/>
    <w:rsid w:val="001B0145"/>
    <w:rsid w:val="001B102E"/>
    <w:rsid w:val="001B164E"/>
    <w:rsid w:val="001B2492"/>
    <w:rsid w:val="001B3904"/>
    <w:rsid w:val="001C0301"/>
    <w:rsid w:val="001C0655"/>
    <w:rsid w:val="001D04C2"/>
    <w:rsid w:val="001D14D8"/>
    <w:rsid w:val="001D5A18"/>
    <w:rsid w:val="001E2F07"/>
    <w:rsid w:val="001E63AE"/>
    <w:rsid w:val="001E7A45"/>
    <w:rsid w:val="00201361"/>
    <w:rsid w:val="00205ACE"/>
    <w:rsid w:val="00207777"/>
    <w:rsid w:val="00211E13"/>
    <w:rsid w:val="0021512A"/>
    <w:rsid w:val="0021647E"/>
    <w:rsid w:val="00217078"/>
    <w:rsid w:val="00230427"/>
    <w:rsid w:val="002304FD"/>
    <w:rsid w:val="0023079E"/>
    <w:rsid w:val="0023358D"/>
    <w:rsid w:val="00244ACF"/>
    <w:rsid w:val="00247993"/>
    <w:rsid w:val="00247D78"/>
    <w:rsid w:val="00251585"/>
    <w:rsid w:val="002559A4"/>
    <w:rsid w:val="00260474"/>
    <w:rsid w:val="00262BD9"/>
    <w:rsid w:val="00262BFF"/>
    <w:rsid w:val="00263BF2"/>
    <w:rsid w:val="0027127F"/>
    <w:rsid w:val="00280605"/>
    <w:rsid w:val="00290EEE"/>
    <w:rsid w:val="002A0F5C"/>
    <w:rsid w:val="002B09C7"/>
    <w:rsid w:val="002C02C5"/>
    <w:rsid w:val="002C1A0E"/>
    <w:rsid w:val="002C54B1"/>
    <w:rsid w:val="002C75B3"/>
    <w:rsid w:val="002D2F90"/>
    <w:rsid w:val="002D34D8"/>
    <w:rsid w:val="002D5176"/>
    <w:rsid w:val="002E15B3"/>
    <w:rsid w:val="002E31D2"/>
    <w:rsid w:val="002E4F46"/>
    <w:rsid w:val="002E51C9"/>
    <w:rsid w:val="002F2965"/>
    <w:rsid w:val="002F5335"/>
    <w:rsid w:val="002F67B3"/>
    <w:rsid w:val="00300BC5"/>
    <w:rsid w:val="003065CE"/>
    <w:rsid w:val="00311812"/>
    <w:rsid w:val="00313513"/>
    <w:rsid w:val="00316965"/>
    <w:rsid w:val="00317A84"/>
    <w:rsid w:val="0033072A"/>
    <w:rsid w:val="00334E0B"/>
    <w:rsid w:val="00336910"/>
    <w:rsid w:val="003436A4"/>
    <w:rsid w:val="00343B20"/>
    <w:rsid w:val="00344A9A"/>
    <w:rsid w:val="00346598"/>
    <w:rsid w:val="003551EF"/>
    <w:rsid w:val="003571A0"/>
    <w:rsid w:val="00362F07"/>
    <w:rsid w:val="00364282"/>
    <w:rsid w:val="003671CA"/>
    <w:rsid w:val="00367817"/>
    <w:rsid w:val="003711BB"/>
    <w:rsid w:val="0037579B"/>
    <w:rsid w:val="00375F9D"/>
    <w:rsid w:val="0037780B"/>
    <w:rsid w:val="003848A8"/>
    <w:rsid w:val="0038586A"/>
    <w:rsid w:val="003912C7"/>
    <w:rsid w:val="00394888"/>
    <w:rsid w:val="00396FD9"/>
    <w:rsid w:val="003A2A51"/>
    <w:rsid w:val="003A407E"/>
    <w:rsid w:val="003A54D0"/>
    <w:rsid w:val="003B35BC"/>
    <w:rsid w:val="003B6B73"/>
    <w:rsid w:val="003C014A"/>
    <w:rsid w:val="003C2636"/>
    <w:rsid w:val="003C4B0A"/>
    <w:rsid w:val="003D0C03"/>
    <w:rsid w:val="003D28A5"/>
    <w:rsid w:val="003E709D"/>
    <w:rsid w:val="003F3FBB"/>
    <w:rsid w:val="003F54A9"/>
    <w:rsid w:val="00403416"/>
    <w:rsid w:val="00403BC8"/>
    <w:rsid w:val="00403F99"/>
    <w:rsid w:val="004074B0"/>
    <w:rsid w:val="00422688"/>
    <w:rsid w:val="00423DB0"/>
    <w:rsid w:val="0042646C"/>
    <w:rsid w:val="004301AE"/>
    <w:rsid w:val="00433F50"/>
    <w:rsid w:val="0043688F"/>
    <w:rsid w:val="004372F8"/>
    <w:rsid w:val="00446200"/>
    <w:rsid w:val="00454074"/>
    <w:rsid w:val="00456561"/>
    <w:rsid w:val="00461C2C"/>
    <w:rsid w:val="004711C6"/>
    <w:rsid w:val="00473C1B"/>
    <w:rsid w:val="00473C80"/>
    <w:rsid w:val="004806F8"/>
    <w:rsid w:val="00482B26"/>
    <w:rsid w:val="00484CAF"/>
    <w:rsid w:val="0049120A"/>
    <w:rsid w:val="0049132C"/>
    <w:rsid w:val="00492851"/>
    <w:rsid w:val="004930FC"/>
    <w:rsid w:val="00493223"/>
    <w:rsid w:val="00494236"/>
    <w:rsid w:val="00494966"/>
    <w:rsid w:val="0049718A"/>
    <w:rsid w:val="004A218D"/>
    <w:rsid w:val="004A7A46"/>
    <w:rsid w:val="004B2579"/>
    <w:rsid w:val="004B2837"/>
    <w:rsid w:val="004B2888"/>
    <w:rsid w:val="004B3C6F"/>
    <w:rsid w:val="004B3F5C"/>
    <w:rsid w:val="004B5F08"/>
    <w:rsid w:val="004C6D8F"/>
    <w:rsid w:val="004C70FC"/>
    <w:rsid w:val="004D36AF"/>
    <w:rsid w:val="004D69FD"/>
    <w:rsid w:val="004D6CC7"/>
    <w:rsid w:val="004E0B0E"/>
    <w:rsid w:val="004E2096"/>
    <w:rsid w:val="004E28C4"/>
    <w:rsid w:val="004E430F"/>
    <w:rsid w:val="004E6C74"/>
    <w:rsid w:val="00503DCA"/>
    <w:rsid w:val="00503F0C"/>
    <w:rsid w:val="00507A1A"/>
    <w:rsid w:val="00510D30"/>
    <w:rsid w:val="0052063E"/>
    <w:rsid w:val="0052087D"/>
    <w:rsid w:val="00521E95"/>
    <w:rsid w:val="005242DF"/>
    <w:rsid w:val="0052608B"/>
    <w:rsid w:val="005311FC"/>
    <w:rsid w:val="005326D8"/>
    <w:rsid w:val="0053375E"/>
    <w:rsid w:val="00533C22"/>
    <w:rsid w:val="00535A5A"/>
    <w:rsid w:val="005364D0"/>
    <w:rsid w:val="005369B7"/>
    <w:rsid w:val="00536B40"/>
    <w:rsid w:val="0054279C"/>
    <w:rsid w:val="005441CB"/>
    <w:rsid w:val="0054567F"/>
    <w:rsid w:val="00545946"/>
    <w:rsid w:val="005503AA"/>
    <w:rsid w:val="00554BA2"/>
    <w:rsid w:val="00555A9B"/>
    <w:rsid w:val="00560263"/>
    <w:rsid w:val="00562BB2"/>
    <w:rsid w:val="00563DC5"/>
    <w:rsid w:val="0057251B"/>
    <w:rsid w:val="00576B88"/>
    <w:rsid w:val="00576BC0"/>
    <w:rsid w:val="00580346"/>
    <w:rsid w:val="00581654"/>
    <w:rsid w:val="0058415A"/>
    <w:rsid w:val="00584D60"/>
    <w:rsid w:val="00591456"/>
    <w:rsid w:val="0059295E"/>
    <w:rsid w:val="00593834"/>
    <w:rsid w:val="005A0953"/>
    <w:rsid w:val="005A1231"/>
    <w:rsid w:val="005A193C"/>
    <w:rsid w:val="005A4100"/>
    <w:rsid w:val="005A4F88"/>
    <w:rsid w:val="005B0208"/>
    <w:rsid w:val="005B2D14"/>
    <w:rsid w:val="005B4A02"/>
    <w:rsid w:val="005C0450"/>
    <w:rsid w:val="005C31F2"/>
    <w:rsid w:val="005D257A"/>
    <w:rsid w:val="005D64FE"/>
    <w:rsid w:val="005D7F43"/>
    <w:rsid w:val="005E03DF"/>
    <w:rsid w:val="005E081C"/>
    <w:rsid w:val="005E2198"/>
    <w:rsid w:val="005F24C1"/>
    <w:rsid w:val="005F42D9"/>
    <w:rsid w:val="005F73E9"/>
    <w:rsid w:val="005F75F1"/>
    <w:rsid w:val="005F76F8"/>
    <w:rsid w:val="00606748"/>
    <w:rsid w:val="00611C86"/>
    <w:rsid w:val="00613422"/>
    <w:rsid w:val="00613F59"/>
    <w:rsid w:val="00616744"/>
    <w:rsid w:val="006201D0"/>
    <w:rsid w:val="0062398D"/>
    <w:rsid w:val="00631256"/>
    <w:rsid w:val="00636AF6"/>
    <w:rsid w:val="00641080"/>
    <w:rsid w:val="006416E7"/>
    <w:rsid w:val="00645578"/>
    <w:rsid w:val="006519ED"/>
    <w:rsid w:val="00653391"/>
    <w:rsid w:val="00653F21"/>
    <w:rsid w:val="00655480"/>
    <w:rsid w:val="006556A7"/>
    <w:rsid w:val="00656C88"/>
    <w:rsid w:val="00657C78"/>
    <w:rsid w:val="006663D8"/>
    <w:rsid w:val="00671F3E"/>
    <w:rsid w:val="00680AB1"/>
    <w:rsid w:val="00681C98"/>
    <w:rsid w:val="00684EE4"/>
    <w:rsid w:val="0069017F"/>
    <w:rsid w:val="0069069A"/>
    <w:rsid w:val="00692B95"/>
    <w:rsid w:val="0069372B"/>
    <w:rsid w:val="0069703A"/>
    <w:rsid w:val="006A5675"/>
    <w:rsid w:val="006A6A9C"/>
    <w:rsid w:val="006A7F65"/>
    <w:rsid w:val="006B03C8"/>
    <w:rsid w:val="006B6EC1"/>
    <w:rsid w:val="006C0805"/>
    <w:rsid w:val="006C24C9"/>
    <w:rsid w:val="006C57D1"/>
    <w:rsid w:val="006C5AC9"/>
    <w:rsid w:val="006C6EBE"/>
    <w:rsid w:val="006D1EF1"/>
    <w:rsid w:val="006D2353"/>
    <w:rsid w:val="006D4815"/>
    <w:rsid w:val="006E25AA"/>
    <w:rsid w:val="006F46D5"/>
    <w:rsid w:val="006F640D"/>
    <w:rsid w:val="00707BFF"/>
    <w:rsid w:val="00711B43"/>
    <w:rsid w:val="0071300B"/>
    <w:rsid w:val="0071400E"/>
    <w:rsid w:val="00717EED"/>
    <w:rsid w:val="00722893"/>
    <w:rsid w:val="007250CD"/>
    <w:rsid w:val="007264C9"/>
    <w:rsid w:val="007271EC"/>
    <w:rsid w:val="00731637"/>
    <w:rsid w:val="00731ABB"/>
    <w:rsid w:val="007321C9"/>
    <w:rsid w:val="00735922"/>
    <w:rsid w:val="007410D8"/>
    <w:rsid w:val="0074233B"/>
    <w:rsid w:val="007425AA"/>
    <w:rsid w:val="00743065"/>
    <w:rsid w:val="00746085"/>
    <w:rsid w:val="00752AA4"/>
    <w:rsid w:val="00753D0E"/>
    <w:rsid w:val="007560B6"/>
    <w:rsid w:val="00757DC6"/>
    <w:rsid w:val="00766D96"/>
    <w:rsid w:val="007679F9"/>
    <w:rsid w:val="00772C31"/>
    <w:rsid w:val="00780741"/>
    <w:rsid w:val="00790350"/>
    <w:rsid w:val="007A2098"/>
    <w:rsid w:val="007A5A51"/>
    <w:rsid w:val="007A6522"/>
    <w:rsid w:val="007A6BB4"/>
    <w:rsid w:val="007B3565"/>
    <w:rsid w:val="007B47BF"/>
    <w:rsid w:val="007B701B"/>
    <w:rsid w:val="007C19B5"/>
    <w:rsid w:val="007D3A85"/>
    <w:rsid w:val="007D62F9"/>
    <w:rsid w:val="007D7B15"/>
    <w:rsid w:val="007E21ED"/>
    <w:rsid w:val="007E3E67"/>
    <w:rsid w:val="007E6E77"/>
    <w:rsid w:val="008017DF"/>
    <w:rsid w:val="00807F14"/>
    <w:rsid w:val="008145A7"/>
    <w:rsid w:val="00814F76"/>
    <w:rsid w:val="008151B5"/>
    <w:rsid w:val="0081659E"/>
    <w:rsid w:val="00816757"/>
    <w:rsid w:val="00820AC3"/>
    <w:rsid w:val="00822C78"/>
    <w:rsid w:val="00831343"/>
    <w:rsid w:val="0083392C"/>
    <w:rsid w:val="008342D2"/>
    <w:rsid w:val="008345D7"/>
    <w:rsid w:val="008409B0"/>
    <w:rsid w:val="00845BBF"/>
    <w:rsid w:val="00850DE3"/>
    <w:rsid w:val="008515C3"/>
    <w:rsid w:val="0085799F"/>
    <w:rsid w:val="00863542"/>
    <w:rsid w:val="00863D16"/>
    <w:rsid w:val="008671DD"/>
    <w:rsid w:val="00870702"/>
    <w:rsid w:val="008709E0"/>
    <w:rsid w:val="008719CA"/>
    <w:rsid w:val="00872538"/>
    <w:rsid w:val="00872C4C"/>
    <w:rsid w:val="00876104"/>
    <w:rsid w:val="008766A5"/>
    <w:rsid w:val="008779F0"/>
    <w:rsid w:val="00877D6F"/>
    <w:rsid w:val="00880DE5"/>
    <w:rsid w:val="0089169C"/>
    <w:rsid w:val="008938FB"/>
    <w:rsid w:val="00894CF8"/>
    <w:rsid w:val="00897225"/>
    <w:rsid w:val="008A31A6"/>
    <w:rsid w:val="008A3DC5"/>
    <w:rsid w:val="008B121A"/>
    <w:rsid w:val="008B45D8"/>
    <w:rsid w:val="008C0D98"/>
    <w:rsid w:val="008C7F58"/>
    <w:rsid w:val="008D14F0"/>
    <w:rsid w:val="008D3B71"/>
    <w:rsid w:val="008D6B92"/>
    <w:rsid w:val="008D7D85"/>
    <w:rsid w:val="008E0423"/>
    <w:rsid w:val="008E2580"/>
    <w:rsid w:val="008E7BD9"/>
    <w:rsid w:val="008F56A4"/>
    <w:rsid w:val="00900E89"/>
    <w:rsid w:val="00905A39"/>
    <w:rsid w:val="00911167"/>
    <w:rsid w:val="009126FA"/>
    <w:rsid w:val="0092069D"/>
    <w:rsid w:val="00925B71"/>
    <w:rsid w:val="00925FE9"/>
    <w:rsid w:val="009261A3"/>
    <w:rsid w:val="009264C6"/>
    <w:rsid w:val="00926A28"/>
    <w:rsid w:val="00933DA3"/>
    <w:rsid w:val="00934023"/>
    <w:rsid w:val="009366B1"/>
    <w:rsid w:val="009518B5"/>
    <w:rsid w:val="009525C5"/>
    <w:rsid w:val="00956378"/>
    <w:rsid w:val="00957FE6"/>
    <w:rsid w:val="00962550"/>
    <w:rsid w:val="009626B9"/>
    <w:rsid w:val="00964182"/>
    <w:rsid w:val="009704B0"/>
    <w:rsid w:val="00973B3E"/>
    <w:rsid w:val="0097632F"/>
    <w:rsid w:val="00977B49"/>
    <w:rsid w:val="00981679"/>
    <w:rsid w:val="00983F40"/>
    <w:rsid w:val="00997504"/>
    <w:rsid w:val="009B2407"/>
    <w:rsid w:val="009B5EC4"/>
    <w:rsid w:val="009B6F2D"/>
    <w:rsid w:val="009C128F"/>
    <w:rsid w:val="009C68CF"/>
    <w:rsid w:val="009D0310"/>
    <w:rsid w:val="009D1EBF"/>
    <w:rsid w:val="009D4F46"/>
    <w:rsid w:val="009D5016"/>
    <w:rsid w:val="009D6238"/>
    <w:rsid w:val="009D6E31"/>
    <w:rsid w:val="009E0403"/>
    <w:rsid w:val="009E0AB4"/>
    <w:rsid w:val="009E5C19"/>
    <w:rsid w:val="009F44F3"/>
    <w:rsid w:val="00A00299"/>
    <w:rsid w:val="00A0031A"/>
    <w:rsid w:val="00A02205"/>
    <w:rsid w:val="00A06193"/>
    <w:rsid w:val="00A1243B"/>
    <w:rsid w:val="00A1435D"/>
    <w:rsid w:val="00A2049B"/>
    <w:rsid w:val="00A218A7"/>
    <w:rsid w:val="00A247D5"/>
    <w:rsid w:val="00A25121"/>
    <w:rsid w:val="00A257CA"/>
    <w:rsid w:val="00A26065"/>
    <w:rsid w:val="00A264CF"/>
    <w:rsid w:val="00A31EF1"/>
    <w:rsid w:val="00A32475"/>
    <w:rsid w:val="00A40C0C"/>
    <w:rsid w:val="00A4465B"/>
    <w:rsid w:val="00A45EB9"/>
    <w:rsid w:val="00A508A0"/>
    <w:rsid w:val="00A519AA"/>
    <w:rsid w:val="00A52020"/>
    <w:rsid w:val="00A54643"/>
    <w:rsid w:val="00A5497D"/>
    <w:rsid w:val="00A6129F"/>
    <w:rsid w:val="00A61A29"/>
    <w:rsid w:val="00A669C3"/>
    <w:rsid w:val="00A71D33"/>
    <w:rsid w:val="00A72CEE"/>
    <w:rsid w:val="00A74624"/>
    <w:rsid w:val="00A7575C"/>
    <w:rsid w:val="00A76DC1"/>
    <w:rsid w:val="00A77A9E"/>
    <w:rsid w:val="00A83E2D"/>
    <w:rsid w:val="00A86FCD"/>
    <w:rsid w:val="00A931C4"/>
    <w:rsid w:val="00A93F3F"/>
    <w:rsid w:val="00AA3350"/>
    <w:rsid w:val="00AA4B79"/>
    <w:rsid w:val="00AB3448"/>
    <w:rsid w:val="00AB351E"/>
    <w:rsid w:val="00AC0928"/>
    <w:rsid w:val="00AC1840"/>
    <w:rsid w:val="00AC540B"/>
    <w:rsid w:val="00AD35CB"/>
    <w:rsid w:val="00AD4555"/>
    <w:rsid w:val="00AD4A3F"/>
    <w:rsid w:val="00AD4AEE"/>
    <w:rsid w:val="00AD6B17"/>
    <w:rsid w:val="00AF5CE7"/>
    <w:rsid w:val="00B05810"/>
    <w:rsid w:val="00B10D3C"/>
    <w:rsid w:val="00B12B51"/>
    <w:rsid w:val="00B2147B"/>
    <w:rsid w:val="00B2720A"/>
    <w:rsid w:val="00B31842"/>
    <w:rsid w:val="00B37823"/>
    <w:rsid w:val="00B42CFA"/>
    <w:rsid w:val="00B470BD"/>
    <w:rsid w:val="00B50C30"/>
    <w:rsid w:val="00B50DD0"/>
    <w:rsid w:val="00B55D37"/>
    <w:rsid w:val="00B652E5"/>
    <w:rsid w:val="00B677E6"/>
    <w:rsid w:val="00B73370"/>
    <w:rsid w:val="00B73772"/>
    <w:rsid w:val="00B743C9"/>
    <w:rsid w:val="00B81942"/>
    <w:rsid w:val="00B84D5C"/>
    <w:rsid w:val="00B874B9"/>
    <w:rsid w:val="00B90299"/>
    <w:rsid w:val="00B92319"/>
    <w:rsid w:val="00B94466"/>
    <w:rsid w:val="00B9550A"/>
    <w:rsid w:val="00BA12A3"/>
    <w:rsid w:val="00BA3803"/>
    <w:rsid w:val="00BB0D49"/>
    <w:rsid w:val="00BB2F71"/>
    <w:rsid w:val="00BB4492"/>
    <w:rsid w:val="00BC1472"/>
    <w:rsid w:val="00BC42BB"/>
    <w:rsid w:val="00BD1243"/>
    <w:rsid w:val="00BE0BEC"/>
    <w:rsid w:val="00BE120A"/>
    <w:rsid w:val="00BE12AD"/>
    <w:rsid w:val="00BE21A7"/>
    <w:rsid w:val="00BE2FDF"/>
    <w:rsid w:val="00BE4499"/>
    <w:rsid w:val="00BE4CA1"/>
    <w:rsid w:val="00BE65FD"/>
    <w:rsid w:val="00BE6AD6"/>
    <w:rsid w:val="00BE743A"/>
    <w:rsid w:val="00BF5FDC"/>
    <w:rsid w:val="00C0113F"/>
    <w:rsid w:val="00C0260B"/>
    <w:rsid w:val="00C0374C"/>
    <w:rsid w:val="00C06D11"/>
    <w:rsid w:val="00C0749B"/>
    <w:rsid w:val="00C14705"/>
    <w:rsid w:val="00C17070"/>
    <w:rsid w:val="00C172CF"/>
    <w:rsid w:val="00C17F3F"/>
    <w:rsid w:val="00C351BE"/>
    <w:rsid w:val="00C3762F"/>
    <w:rsid w:val="00C37D3C"/>
    <w:rsid w:val="00C40B89"/>
    <w:rsid w:val="00C53235"/>
    <w:rsid w:val="00C534A4"/>
    <w:rsid w:val="00C56BBF"/>
    <w:rsid w:val="00C60FFE"/>
    <w:rsid w:val="00C61392"/>
    <w:rsid w:val="00C62689"/>
    <w:rsid w:val="00C63180"/>
    <w:rsid w:val="00C670CE"/>
    <w:rsid w:val="00C67A27"/>
    <w:rsid w:val="00C739C2"/>
    <w:rsid w:val="00C907FB"/>
    <w:rsid w:val="00C93CB4"/>
    <w:rsid w:val="00C93D46"/>
    <w:rsid w:val="00C949D4"/>
    <w:rsid w:val="00C970A3"/>
    <w:rsid w:val="00C97A88"/>
    <w:rsid w:val="00CA1DE1"/>
    <w:rsid w:val="00CA39E5"/>
    <w:rsid w:val="00CA40C1"/>
    <w:rsid w:val="00CA457C"/>
    <w:rsid w:val="00CB1827"/>
    <w:rsid w:val="00CB1F6F"/>
    <w:rsid w:val="00CB7B74"/>
    <w:rsid w:val="00CC1A53"/>
    <w:rsid w:val="00CC5580"/>
    <w:rsid w:val="00CC5C73"/>
    <w:rsid w:val="00CD372F"/>
    <w:rsid w:val="00CD5CC9"/>
    <w:rsid w:val="00CD6BB9"/>
    <w:rsid w:val="00CE3B68"/>
    <w:rsid w:val="00CE6CC5"/>
    <w:rsid w:val="00CF1BA2"/>
    <w:rsid w:val="00CF2A3F"/>
    <w:rsid w:val="00CF5112"/>
    <w:rsid w:val="00D00FEA"/>
    <w:rsid w:val="00D01604"/>
    <w:rsid w:val="00D03742"/>
    <w:rsid w:val="00D03F77"/>
    <w:rsid w:val="00D06644"/>
    <w:rsid w:val="00D076AE"/>
    <w:rsid w:val="00D1011E"/>
    <w:rsid w:val="00D10F51"/>
    <w:rsid w:val="00D114F7"/>
    <w:rsid w:val="00D14000"/>
    <w:rsid w:val="00D20848"/>
    <w:rsid w:val="00D20F18"/>
    <w:rsid w:val="00D2129F"/>
    <w:rsid w:val="00D272AC"/>
    <w:rsid w:val="00D3348A"/>
    <w:rsid w:val="00D352C5"/>
    <w:rsid w:val="00D41BF0"/>
    <w:rsid w:val="00D427F3"/>
    <w:rsid w:val="00D44A16"/>
    <w:rsid w:val="00D4583E"/>
    <w:rsid w:val="00D461E1"/>
    <w:rsid w:val="00D5096B"/>
    <w:rsid w:val="00D60CCC"/>
    <w:rsid w:val="00D60F9D"/>
    <w:rsid w:val="00D64A2F"/>
    <w:rsid w:val="00D7216E"/>
    <w:rsid w:val="00D7359B"/>
    <w:rsid w:val="00D75CAF"/>
    <w:rsid w:val="00D76A5B"/>
    <w:rsid w:val="00D856EB"/>
    <w:rsid w:val="00D90374"/>
    <w:rsid w:val="00D9255F"/>
    <w:rsid w:val="00D96FF8"/>
    <w:rsid w:val="00DA3E72"/>
    <w:rsid w:val="00DA4B7D"/>
    <w:rsid w:val="00DB0934"/>
    <w:rsid w:val="00DB43D1"/>
    <w:rsid w:val="00DB5457"/>
    <w:rsid w:val="00DB61A3"/>
    <w:rsid w:val="00DB677C"/>
    <w:rsid w:val="00DB7B78"/>
    <w:rsid w:val="00DC011E"/>
    <w:rsid w:val="00DC4297"/>
    <w:rsid w:val="00DC4F7A"/>
    <w:rsid w:val="00DC6E90"/>
    <w:rsid w:val="00DC708F"/>
    <w:rsid w:val="00DC7229"/>
    <w:rsid w:val="00DD02CA"/>
    <w:rsid w:val="00DD0403"/>
    <w:rsid w:val="00DD288A"/>
    <w:rsid w:val="00DD3BEB"/>
    <w:rsid w:val="00DD7E4F"/>
    <w:rsid w:val="00DF1C02"/>
    <w:rsid w:val="00DF3044"/>
    <w:rsid w:val="00E00D30"/>
    <w:rsid w:val="00E06453"/>
    <w:rsid w:val="00E11BAE"/>
    <w:rsid w:val="00E12123"/>
    <w:rsid w:val="00E12894"/>
    <w:rsid w:val="00E16367"/>
    <w:rsid w:val="00E20F0A"/>
    <w:rsid w:val="00E225D9"/>
    <w:rsid w:val="00E23502"/>
    <w:rsid w:val="00E24392"/>
    <w:rsid w:val="00E27702"/>
    <w:rsid w:val="00E33FCD"/>
    <w:rsid w:val="00E40C67"/>
    <w:rsid w:val="00E467F4"/>
    <w:rsid w:val="00E46F79"/>
    <w:rsid w:val="00E47F25"/>
    <w:rsid w:val="00E52578"/>
    <w:rsid w:val="00E537D1"/>
    <w:rsid w:val="00E54936"/>
    <w:rsid w:val="00E57697"/>
    <w:rsid w:val="00E61960"/>
    <w:rsid w:val="00E629F8"/>
    <w:rsid w:val="00E6626F"/>
    <w:rsid w:val="00E67B90"/>
    <w:rsid w:val="00E716B8"/>
    <w:rsid w:val="00E7445D"/>
    <w:rsid w:val="00E76548"/>
    <w:rsid w:val="00E8123D"/>
    <w:rsid w:val="00E843A7"/>
    <w:rsid w:val="00E8513C"/>
    <w:rsid w:val="00E8516A"/>
    <w:rsid w:val="00E85B61"/>
    <w:rsid w:val="00E8696F"/>
    <w:rsid w:val="00E874B6"/>
    <w:rsid w:val="00E934EB"/>
    <w:rsid w:val="00E94343"/>
    <w:rsid w:val="00E97F79"/>
    <w:rsid w:val="00EB0142"/>
    <w:rsid w:val="00EB1807"/>
    <w:rsid w:val="00EB61A8"/>
    <w:rsid w:val="00EC2621"/>
    <w:rsid w:val="00EC4B0F"/>
    <w:rsid w:val="00ED0FD5"/>
    <w:rsid w:val="00ED72BA"/>
    <w:rsid w:val="00EE2DCD"/>
    <w:rsid w:val="00EE3A2D"/>
    <w:rsid w:val="00EE4D9A"/>
    <w:rsid w:val="00EE5852"/>
    <w:rsid w:val="00EE692D"/>
    <w:rsid w:val="00EF36AF"/>
    <w:rsid w:val="00EF5C23"/>
    <w:rsid w:val="00F014FA"/>
    <w:rsid w:val="00F03AF7"/>
    <w:rsid w:val="00F055DA"/>
    <w:rsid w:val="00F10C41"/>
    <w:rsid w:val="00F1254D"/>
    <w:rsid w:val="00F14D1A"/>
    <w:rsid w:val="00F14D60"/>
    <w:rsid w:val="00F14ED9"/>
    <w:rsid w:val="00F171D6"/>
    <w:rsid w:val="00F2236D"/>
    <w:rsid w:val="00F23E3F"/>
    <w:rsid w:val="00F24EB9"/>
    <w:rsid w:val="00F325D5"/>
    <w:rsid w:val="00F352C2"/>
    <w:rsid w:val="00F36EB5"/>
    <w:rsid w:val="00F40B9E"/>
    <w:rsid w:val="00F429A6"/>
    <w:rsid w:val="00F42E02"/>
    <w:rsid w:val="00F45D46"/>
    <w:rsid w:val="00F5099F"/>
    <w:rsid w:val="00F52145"/>
    <w:rsid w:val="00F522EF"/>
    <w:rsid w:val="00F55791"/>
    <w:rsid w:val="00F6150D"/>
    <w:rsid w:val="00F645D1"/>
    <w:rsid w:val="00F66ECA"/>
    <w:rsid w:val="00F67B6C"/>
    <w:rsid w:val="00F70827"/>
    <w:rsid w:val="00F76852"/>
    <w:rsid w:val="00F76F0B"/>
    <w:rsid w:val="00F8028B"/>
    <w:rsid w:val="00F82FDD"/>
    <w:rsid w:val="00F921E9"/>
    <w:rsid w:val="00F933AF"/>
    <w:rsid w:val="00F94B94"/>
    <w:rsid w:val="00F97871"/>
    <w:rsid w:val="00F97FE8"/>
    <w:rsid w:val="00FA05D1"/>
    <w:rsid w:val="00FA4145"/>
    <w:rsid w:val="00FA42BF"/>
    <w:rsid w:val="00FB0C79"/>
    <w:rsid w:val="00FB1654"/>
    <w:rsid w:val="00FB26B8"/>
    <w:rsid w:val="00FC2430"/>
    <w:rsid w:val="00FD1EF5"/>
    <w:rsid w:val="00FE085F"/>
    <w:rsid w:val="00FE5397"/>
    <w:rsid w:val="00FE5F9B"/>
    <w:rsid w:val="00FE6FF8"/>
    <w:rsid w:val="00FF0517"/>
    <w:rsid w:val="00FF0E38"/>
    <w:rsid w:val="00FF1637"/>
    <w:rsid w:val="00FF6AA5"/>
    <w:rsid w:val="00FF7BAD"/>
    <w:rsid w:val="016D3428"/>
    <w:rsid w:val="01702DB0"/>
    <w:rsid w:val="017E28B5"/>
    <w:rsid w:val="019404F8"/>
    <w:rsid w:val="01F110DF"/>
    <w:rsid w:val="02135301"/>
    <w:rsid w:val="02431733"/>
    <w:rsid w:val="026648EF"/>
    <w:rsid w:val="02A75E45"/>
    <w:rsid w:val="02C765CD"/>
    <w:rsid w:val="02FC7901"/>
    <w:rsid w:val="0344678C"/>
    <w:rsid w:val="03555BD2"/>
    <w:rsid w:val="03665A81"/>
    <w:rsid w:val="04616BD7"/>
    <w:rsid w:val="046E7887"/>
    <w:rsid w:val="047A1540"/>
    <w:rsid w:val="047B14FB"/>
    <w:rsid w:val="04A00720"/>
    <w:rsid w:val="0554034F"/>
    <w:rsid w:val="05543B6F"/>
    <w:rsid w:val="05654685"/>
    <w:rsid w:val="057C688D"/>
    <w:rsid w:val="05893FBC"/>
    <w:rsid w:val="059162D1"/>
    <w:rsid w:val="05B03FFD"/>
    <w:rsid w:val="05EF0193"/>
    <w:rsid w:val="06182058"/>
    <w:rsid w:val="06560E68"/>
    <w:rsid w:val="065B1B8E"/>
    <w:rsid w:val="06781D07"/>
    <w:rsid w:val="06A32B3B"/>
    <w:rsid w:val="06EC4925"/>
    <w:rsid w:val="07182591"/>
    <w:rsid w:val="07431D61"/>
    <w:rsid w:val="08283CD2"/>
    <w:rsid w:val="088A69D0"/>
    <w:rsid w:val="089634FC"/>
    <w:rsid w:val="089F49DA"/>
    <w:rsid w:val="08CB7665"/>
    <w:rsid w:val="08D405D7"/>
    <w:rsid w:val="09075DFB"/>
    <w:rsid w:val="094B3EE4"/>
    <w:rsid w:val="094F5C0A"/>
    <w:rsid w:val="0960516A"/>
    <w:rsid w:val="096B62D6"/>
    <w:rsid w:val="09B95838"/>
    <w:rsid w:val="09F66E80"/>
    <w:rsid w:val="0A3A0F2F"/>
    <w:rsid w:val="0A753598"/>
    <w:rsid w:val="0AA03A6A"/>
    <w:rsid w:val="0ABA1CA5"/>
    <w:rsid w:val="0ADE33C4"/>
    <w:rsid w:val="0AFC7B74"/>
    <w:rsid w:val="0B41349E"/>
    <w:rsid w:val="0B450079"/>
    <w:rsid w:val="0B6D4294"/>
    <w:rsid w:val="0BC96323"/>
    <w:rsid w:val="0BD64148"/>
    <w:rsid w:val="0BF7590B"/>
    <w:rsid w:val="0C3625B3"/>
    <w:rsid w:val="0C436DA2"/>
    <w:rsid w:val="0C4C6405"/>
    <w:rsid w:val="0C566595"/>
    <w:rsid w:val="0C78603B"/>
    <w:rsid w:val="0C856FBF"/>
    <w:rsid w:val="0C924DB5"/>
    <w:rsid w:val="0C931DEF"/>
    <w:rsid w:val="0D357D95"/>
    <w:rsid w:val="0D6C40D7"/>
    <w:rsid w:val="0D9B7A7C"/>
    <w:rsid w:val="0DB8731C"/>
    <w:rsid w:val="0DD239FC"/>
    <w:rsid w:val="0E0013EF"/>
    <w:rsid w:val="0E2465AF"/>
    <w:rsid w:val="0E575ED1"/>
    <w:rsid w:val="0E5C3E97"/>
    <w:rsid w:val="0F233AE0"/>
    <w:rsid w:val="0F2916EA"/>
    <w:rsid w:val="0F377B97"/>
    <w:rsid w:val="0FB83603"/>
    <w:rsid w:val="0FE8213B"/>
    <w:rsid w:val="1030663E"/>
    <w:rsid w:val="10895E79"/>
    <w:rsid w:val="10964624"/>
    <w:rsid w:val="10995274"/>
    <w:rsid w:val="111F7DDE"/>
    <w:rsid w:val="122919EE"/>
    <w:rsid w:val="12476FB0"/>
    <w:rsid w:val="129D4748"/>
    <w:rsid w:val="12BA7692"/>
    <w:rsid w:val="13053004"/>
    <w:rsid w:val="1312127D"/>
    <w:rsid w:val="13185B89"/>
    <w:rsid w:val="13436DD5"/>
    <w:rsid w:val="136917E4"/>
    <w:rsid w:val="13BE51CA"/>
    <w:rsid w:val="141D59F3"/>
    <w:rsid w:val="142F2398"/>
    <w:rsid w:val="143E22D4"/>
    <w:rsid w:val="144E7CB6"/>
    <w:rsid w:val="147612B4"/>
    <w:rsid w:val="147671F2"/>
    <w:rsid w:val="14AB475B"/>
    <w:rsid w:val="14C111AC"/>
    <w:rsid w:val="14D5309C"/>
    <w:rsid w:val="152971BB"/>
    <w:rsid w:val="157D3499"/>
    <w:rsid w:val="158051DB"/>
    <w:rsid w:val="15F91BCC"/>
    <w:rsid w:val="16264C5B"/>
    <w:rsid w:val="166E2C6E"/>
    <w:rsid w:val="16883AE4"/>
    <w:rsid w:val="169D0E72"/>
    <w:rsid w:val="16CE30E2"/>
    <w:rsid w:val="170773AB"/>
    <w:rsid w:val="17184BEC"/>
    <w:rsid w:val="174E2527"/>
    <w:rsid w:val="17765669"/>
    <w:rsid w:val="17936E30"/>
    <w:rsid w:val="184E0FA9"/>
    <w:rsid w:val="185976F5"/>
    <w:rsid w:val="186E33F9"/>
    <w:rsid w:val="19A30E80"/>
    <w:rsid w:val="19C320A0"/>
    <w:rsid w:val="19C62D11"/>
    <w:rsid w:val="1A013C2B"/>
    <w:rsid w:val="1A117BF4"/>
    <w:rsid w:val="1A1B47D0"/>
    <w:rsid w:val="1A2A3350"/>
    <w:rsid w:val="1A3506AB"/>
    <w:rsid w:val="1A65610B"/>
    <w:rsid w:val="1AB41E06"/>
    <w:rsid w:val="1B1C5247"/>
    <w:rsid w:val="1B245991"/>
    <w:rsid w:val="1B255328"/>
    <w:rsid w:val="1B707FCE"/>
    <w:rsid w:val="1B9166FE"/>
    <w:rsid w:val="1BD9327F"/>
    <w:rsid w:val="1BF57AF7"/>
    <w:rsid w:val="1C305006"/>
    <w:rsid w:val="1C523CD7"/>
    <w:rsid w:val="1C5A43C0"/>
    <w:rsid w:val="1C735482"/>
    <w:rsid w:val="1CC01D49"/>
    <w:rsid w:val="1DB14A36"/>
    <w:rsid w:val="1DCA10D2"/>
    <w:rsid w:val="1E1923DB"/>
    <w:rsid w:val="1E430E84"/>
    <w:rsid w:val="1E5F3B6C"/>
    <w:rsid w:val="1E6C42CC"/>
    <w:rsid w:val="1E8474D2"/>
    <w:rsid w:val="1E870814"/>
    <w:rsid w:val="1E9F430C"/>
    <w:rsid w:val="1EA8294E"/>
    <w:rsid w:val="1EB37DB8"/>
    <w:rsid w:val="1EF3071E"/>
    <w:rsid w:val="1EF83A1C"/>
    <w:rsid w:val="1EFE379E"/>
    <w:rsid w:val="1F2D4C2A"/>
    <w:rsid w:val="1F4C72C9"/>
    <w:rsid w:val="1F5C498A"/>
    <w:rsid w:val="1F645556"/>
    <w:rsid w:val="1FA97BE3"/>
    <w:rsid w:val="1FAA1DD6"/>
    <w:rsid w:val="20080B44"/>
    <w:rsid w:val="205468B7"/>
    <w:rsid w:val="20702D99"/>
    <w:rsid w:val="20B3763C"/>
    <w:rsid w:val="20BE5DBD"/>
    <w:rsid w:val="20F5771A"/>
    <w:rsid w:val="21465F3A"/>
    <w:rsid w:val="214C5B79"/>
    <w:rsid w:val="214D22F5"/>
    <w:rsid w:val="21702637"/>
    <w:rsid w:val="21AC2EA4"/>
    <w:rsid w:val="21D021E4"/>
    <w:rsid w:val="222C35B2"/>
    <w:rsid w:val="2248718B"/>
    <w:rsid w:val="226F3FF6"/>
    <w:rsid w:val="236636E6"/>
    <w:rsid w:val="23843AD1"/>
    <w:rsid w:val="23F062D6"/>
    <w:rsid w:val="23FF50D3"/>
    <w:rsid w:val="240A1BB0"/>
    <w:rsid w:val="245F06CE"/>
    <w:rsid w:val="24617421"/>
    <w:rsid w:val="249E5A5F"/>
    <w:rsid w:val="24AA392E"/>
    <w:rsid w:val="24D32E6D"/>
    <w:rsid w:val="24FA1F73"/>
    <w:rsid w:val="2516026A"/>
    <w:rsid w:val="25400BC4"/>
    <w:rsid w:val="254D2465"/>
    <w:rsid w:val="25C1242F"/>
    <w:rsid w:val="26017E16"/>
    <w:rsid w:val="26046186"/>
    <w:rsid w:val="262A565F"/>
    <w:rsid w:val="262B0BB5"/>
    <w:rsid w:val="265359DC"/>
    <w:rsid w:val="26545B71"/>
    <w:rsid w:val="265C1C5F"/>
    <w:rsid w:val="26F510E8"/>
    <w:rsid w:val="26FD42C6"/>
    <w:rsid w:val="27014B68"/>
    <w:rsid w:val="27122FE2"/>
    <w:rsid w:val="27514612"/>
    <w:rsid w:val="2759312C"/>
    <w:rsid w:val="27821E79"/>
    <w:rsid w:val="27D50D9F"/>
    <w:rsid w:val="281F6300"/>
    <w:rsid w:val="2821286D"/>
    <w:rsid w:val="28626D2E"/>
    <w:rsid w:val="287A36F4"/>
    <w:rsid w:val="28995D35"/>
    <w:rsid w:val="28EB3900"/>
    <w:rsid w:val="28FD0972"/>
    <w:rsid w:val="29347D47"/>
    <w:rsid w:val="29A31FF7"/>
    <w:rsid w:val="29B85CCB"/>
    <w:rsid w:val="29E74DB9"/>
    <w:rsid w:val="2A224043"/>
    <w:rsid w:val="2A3F5A86"/>
    <w:rsid w:val="2A557EBC"/>
    <w:rsid w:val="2A685EFA"/>
    <w:rsid w:val="2AC1385C"/>
    <w:rsid w:val="2AC33130"/>
    <w:rsid w:val="2AC47462"/>
    <w:rsid w:val="2AC626C7"/>
    <w:rsid w:val="2ADA1C3A"/>
    <w:rsid w:val="2AEB7016"/>
    <w:rsid w:val="2AFF1E12"/>
    <w:rsid w:val="2B2C06C2"/>
    <w:rsid w:val="2B391645"/>
    <w:rsid w:val="2B422AB4"/>
    <w:rsid w:val="2B606BD1"/>
    <w:rsid w:val="2B996587"/>
    <w:rsid w:val="2BAA17FB"/>
    <w:rsid w:val="2BD452E8"/>
    <w:rsid w:val="2BDD6875"/>
    <w:rsid w:val="2C0C67F2"/>
    <w:rsid w:val="2C42758F"/>
    <w:rsid w:val="2C4E1B74"/>
    <w:rsid w:val="2C9B310B"/>
    <w:rsid w:val="2CB93DA6"/>
    <w:rsid w:val="2CE915E7"/>
    <w:rsid w:val="2CF17023"/>
    <w:rsid w:val="2D7D2D83"/>
    <w:rsid w:val="2D9A1AAE"/>
    <w:rsid w:val="2DA51213"/>
    <w:rsid w:val="2E67397F"/>
    <w:rsid w:val="2E921798"/>
    <w:rsid w:val="2E9618D9"/>
    <w:rsid w:val="2EB34598"/>
    <w:rsid w:val="2ECD27D0"/>
    <w:rsid w:val="2ECE3698"/>
    <w:rsid w:val="2EE94A55"/>
    <w:rsid w:val="2F3027F7"/>
    <w:rsid w:val="2F3D530E"/>
    <w:rsid w:val="2F7B3408"/>
    <w:rsid w:val="2FBC4684"/>
    <w:rsid w:val="2FC0314B"/>
    <w:rsid w:val="2FF738EB"/>
    <w:rsid w:val="30B206D0"/>
    <w:rsid w:val="30C85944"/>
    <w:rsid w:val="30EE18CD"/>
    <w:rsid w:val="30FC4BF6"/>
    <w:rsid w:val="31661DFE"/>
    <w:rsid w:val="316854D9"/>
    <w:rsid w:val="317B1983"/>
    <w:rsid w:val="329D4BAF"/>
    <w:rsid w:val="32A6670B"/>
    <w:rsid w:val="32B37488"/>
    <w:rsid w:val="32F07D5C"/>
    <w:rsid w:val="32FD564D"/>
    <w:rsid w:val="330B1F70"/>
    <w:rsid w:val="330C5891"/>
    <w:rsid w:val="332E35E7"/>
    <w:rsid w:val="33482D6D"/>
    <w:rsid w:val="335D2DB5"/>
    <w:rsid w:val="338E3DD6"/>
    <w:rsid w:val="34181896"/>
    <w:rsid w:val="342509B8"/>
    <w:rsid w:val="35494469"/>
    <w:rsid w:val="3558300F"/>
    <w:rsid w:val="356523F0"/>
    <w:rsid w:val="357853FC"/>
    <w:rsid w:val="357B6ABC"/>
    <w:rsid w:val="358D2CB9"/>
    <w:rsid w:val="35911D1E"/>
    <w:rsid w:val="35971A8C"/>
    <w:rsid w:val="35A7777A"/>
    <w:rsid w:val="35DF79EB"/>
    <w:rsid w:val="35EF127D"/>
    <w:rsid w:val="3606039F"/>
    <w:rsid w:val="36105698"/>
    <w:rsid w:val="36165A63"/>
    <w:rsid w:val="365C4A2B"/>
    <w:rsid w:val="366704E4"/>
    <w:rsid w:val="368D367D"/>
    <w:rsid w:val="368E1FC7"/>
    <w:rsid w:val="36CE3589"/>
    <w:rsid w:val="37532D9A"/>
    <w:rsid w:val="37847F8D"/>
    <w:rsid w:val="37F01EEC"/>
    <w:rsid w:val="37F555DB"/>
    <w:rsid w:val="381C15E5"/>
    <w:rsid w:val="38625457"/>
    <w:rsid w:val="38801361"/>
    <w:rsid w:val="389B5358"/>
    <w:rsid w:val="38A239D2"/>
    <w:rsid w:val="39292CF8"/>
    <w:rsid w:val="39491F76"/>
    <w:rsid w:val="394A79A3"/>
    <w:rsid w:val="396E4A4E"/>
    <w:rsid w:val="39B67631"/>
    <w:rsid w:val="39C1487F"/>
    <w:rsid w:val="39D52BDD"/>
    <w:rsid w:val="3A3A14E5"/>
    <w:rsid w:val="3A504CFC"/>
    <w:rsid w:val="3ABB2076"/>
    <w:rsid w:val="3B0D670E"/>
    <w:rsid w:val="3B324B3A"/>
    <w:rsid w:val="3BE63A00"/>
    <w:rsid w:val="3C1B43A9"/>
    <w:rsid w:val="3C524704"/>
    <w:rsid w:val="3C6F6206"/>
    <w:rsid w:val="3C834E15"/>
    <w:rsid w:val="3CC84875"/>
    <w:rsid w:val="3CF4361D"/>
    <w:rsid w:val="3D427C1F"/>
    <w:rsid w:val="3D6F276A"/>
    <w:rsid w:val="3D700073"/>
    <w:rsid w:val="3D991205"/>
    <w:rsid w:val="3DBC6B20"/>
    <w:rsid w:val="3DE6740A"/>
    <w:rsid w:val="3E2E61BB"/>
    <w:rsid w:val="3EAA5E71"/>
    <w:rsid w:val="3F495453"/>
    <w:rsid w:val="3F995E46"/>
    <w:rsid w:val="3FA021F9"/>
    <w:rsid w:val="3FAE68BD"/>
    <w:rsid w:val="3FB8069D"/>
    <w:rsid w:val="404E50F9"/>
    <w:rsid w:val="40520AA0"/>
    <w:rsid w:val="40677C60"/>
    <w:rsid w:val="40BC016E"/>
    <w:rsid w:val="40FE7DB4"/>
    <w:rsid w:val="412F10C8"/>
    <w:rsid w:val="414B68A2"/>
    <w:rsid w:val="41771811"/>
    <w:rsid w:val="41D3433B"/>
    <w:rsid w:val="41F60393"/>
    <w:rsid w:val="42144FFC"/>
    <w:rsid w:val="42333372"/>
    <w:rsid w:val="424E34AE"/>
    <w:rsid w:val="42555BA4"/>
    <w:rsid w:val="42565269"/>
    <w:rsid w:val="42917038"/>
    <w:rsid w:val="42B20943"/>
    <w:rsid w:val="42BB683A"/>
    <w:rsid w:val="42E915A8"/>
    <w:rsid w:val="435218EE"/>
    <w:rsid w:val="43886FC2"/>
    <w:rsid w:val="43AB3896"/>
    <w:rsid w:val="43E142FE"/>
    <w:rsid w:val="43E67A4A"/>
    <w:rsid w:val="43F3291D"/>
    <w:rsid w:val="43F72B79"/>
    <w:rsid w:val="43FB3208"/>
    <w:rsid w:val="444810D2"/>
    <w:rsid w:val="44693C96"/>
    <w:rsid w:val="44DF1408"/>
    <w:rsid w:val="45110FB8"/>
    <w:rsid w:val="453622D0"/>
    <w:rsid w:val="46424C4E"/>
    <w:rsid w:val="46647A66"/>
    <w:rsid w:val="468F19EB"/>
    <w:rsid w:val="46B8390E"/>
    <w:rsid w:val="46C978C9"/>
    <w:rsid w:val="46ED1B07"/>
    <w:rsid w:val="47013507"/>
    <w:rsid w:val="47034B35"/>
    <w:rsid w:val="470804BE"/>
    <w:rsid w:val="471B18C5"/>
    <w:rsid w:val="4743164D"/>
    <w:rsid w:val="47705F96"/>
    <w:rsid w:val="47A03BF4"/>
    <w:rsid w:val="47CD71C9"/>
    <w:rsid w:val="47CF7161"/>
    <w:rsid w:val="47DE59CB"/>
    <w:rsid w:val="4808089D"/>
    <w:rsid w:val="482A4397"/>
    <w:rsid w:val="48392175"/>
    <w:rsid w:val="48AB0EFE"/>
    <w:rsid w:val="48D64F89"/>
    <w:rsid w:val="48DB4339"/>
    <w:rsid w:val="48F33870"/>
    <w:rsid w:val="495A0032"/>
    <w:rsid w:val="49AF724A"/>
    <w:rsid w:val="49ED1B20"/>
    <w:rsid w:val="4A1568A4"/>
    <w:rsid w:val="4A28149E"/>
    <w:rsid w:val="4AF636F2"/>
    <w:rsid w:val="4B163E20"/>
    <w:rsid w:val="4B240964"/>
    <w:rsid w:val="4B3F3247"/>
    <w:rsid w:val="4B772181"/>
    <w:rsid w:val="4C561BFF"/>
    <w:rsid w:val="4C81771C"/>
    <w:rsid w:val="4CA42697"/>
    <w:rsid w:val="4D0258E3"/>
    <w:rsid w:val="4D1441E0"/>
    <w:rsid w:val="4D2C0BB1"/>
    <w:rsid w:val="4D875DE8"/>
    <w:rsid w:val="4D8E53C8"/>
    <w:rsid w:val="4DD22FFE"/>
    <w:rsid w:val="4DF25957"/>
    <w:rsid w:val="4E2F28AB"/>
    <w:rsid w:val="4ECF14F2"/>
    <w:rsid w:val="4F193CE0"/>
    <w:rsid w:val="4F711713"/>
    <w:rsid w:val="4F742E4C"/>
    <w:rsid w:val="4FD52E09"/>
    <w:rsid w:val="4FF27E90"/>
    <w:rsid w:val="500057F0"/>
    <w:rsid w:val="50664AE6"/>
    <w:rsid w:val="50830AE8"/>
    <w:rsid w:val="50D704EB"/>
    <w:rsid w:val="50DE1450"/>
    <w:rsid w:val="50E25A58"/>
    <w:rsid w:val="512631B2"/>
    <w:rsid w:val="51856AE2"/>
    <w:rsid w:val="51AA281B"/>
    <w:rsid w:val="51B732BD"/>
    <w:rsid w:val="51CF760F"/>
    <w:rsid w:val="528E000F"/>
    <w:rsid w:val="52DE46FC"/>
    <w:rsid w:val="52E3635F"/>
    <w:rsid w:val="52E82048"/>
    <w:rsid w:val="534410BD"/>
    <w:rsid w:val="53463072"/>
    <w:rsid w:val="53477199"/>
    <w:rsid w:val="53517039"/>
    <w:rsid w:val="54C6402E"/>
    <w:rsid w:val="553D6439"/>
    <w:rsid w:val="553D79B7"/>
    <w:rsid w:val="55785FCD"/>
    <w:rsid w:val="557D5017"/>
    <w:rsid w:val="558F60E6"/>
    <w:rsid w:val="5599206B"/>
    <w:rsid w:val="55A600A3"/>
    <w:rsid w:val="560B3A5A"/>
    <w:rsid w:val="562577DF"/>
    <w:rsid w:val="564F0FA5"/>
    <w:rsid w:val="566D17FC"/>
    <w:rsid w:val="56821499"/>
    <w:rsid w:val="56C854A7"/>
    <w:rsid w:val="57212FEB"/>
    <w:rsid w:val="57487529"/>
    <w:rsid w:val="574D549F"/>
    <w:rsid w:val="575A1F02"/>
    <w:rsid w:val="578318F4"/>
    <w:rsid w:val="578C0BCA"/>
    <w:rsid w:val="57920A9F"/>
    <w:rsid w:val="57B05C93"/>
    <w:rsid w:val="57F066EE"/>
    <w:rsid w:val="57F72446"/>
    <w:rsid w:val="583848AE"/>
    <w:rsid w:val="584A6BD1"/>
    <w:rsid w:val="592C1EFC"/>
    <w:rsid w:val="59CC706B"/>
    <w:rsid w:val="5ADC45DE"/>
    <w:rsid w:val="5B2C01D0"/>
    <w:rsid w:val="5B423656"/>
    <w:rsid w:val="5B61236E"/>
    <w:rsid w:val="5B976512"/>
    <w:rsid w:val="5B9C6F02"/>
    <w:rsid w:val="5C3E36C9"/>
    <w:rsid w:val="5C8F1231"/>
    <w:rsid w:val="5CC76201"/>
    <w:rsid w:val="5CE70651"/>
    <w:rsid w:val="5CEE7C31"/>
    <w:rsid w:val="5D0D6309"/>
    <w:rsid w:val="5DA84284"/>
    <w:rsid w:val="5DAC13CE"/>
    <w:rsid w:val="5DBA44E7"/>
    <w:rsid w:val="5DF23751"/>
    <w:rsid w:val="5E045987"/>
    <w:rsid w:val="5E8D4877"/>
    <w:rsid w:val="5EAD1589"/>
    <w:rsid w:val="5EE251B4"/>
    <w:rsid w:val="5EF36AC6"/>
    <w:rsid w:val="5F055616"/>
    <w:rsid w:val="5F2E2F07"/>
    <w:rsid w:val="5F4104EC"/>
    <w:rsid w:val="5F427DC1"/>
    <w:rsid w:val="5F482DB8"/>
    <w:rsid w:val="5F4B3119"/>
    <w:rsid w:val="5F9D44CF"/>
    <w:rsid w:val="5FC627A0"/>
    <w:rsid w:val="5FF23595"/>
    <w:rsid w:val="60167539"/>
    <w:rsid w:val="606F1089"/>
    <w:rsid w:val="607A2D9D"/>
    <w:rsid w:val="609D1752"/>
    <w:rsid w:val="60B46643"/>
    <w:rsid w:val="613439BF"/>
    <w:rsid w:val="61966C6D"/>
    <w:rsid w:val="61B9452E"/>
    <w:rsid w:val="61D61A27"/>
    <w:rsid w:val="61F950AE"/>
    <w:rsid w:val="6206193C"/>
    <w:rsid w:val="62165C60"/>
    <w:rsid w:val="622100F7"/>
    <w:rsid w:val="624C4623"/>
    <w:rsid w:val="62AA45FB"/>
    <w:rsid w:val="62AE45FE"/>
    <w:rsid w:val="62BB2332"/>
    <w:rsid w:val="62BC40AF"/>
    <w:rsid w:val="62C04FAC"/>
    <w:rsid w:val="62E40B16"/>
    <w:rsid w:val="62E66672"/>
    <w:rsid w:val="632F168F"/>
    <w:rsid w:val="633D60BB"/>
    <w:rsid w:val="633E13CB"/>
    <w:rsid w:val="639E3C21"/>
    <w:rsid w:val="63E17D6C"/>
    <w:rsid w:val="646A323A"/>
    <w:rsid w:val="646D54DA"/>
    <w:rsid w:val="647B5DB3"/>
    <w:rsid w:val="64B02F07"/>
    <w:rsid w:val="653D3504"/>
    <w:rsid w:val="6548088E"/>
    <w:rsid w:val="654C4BF8"/>
    <w:rsid w:val="65BD54B9"/>
    <w:rsid w:val="66000C25"/>
    <w:rsid w:val="66320795"/>
    <w:rsid w:val="66785792"/>
    <w:rsid w:val="667E5EE9"/>
    <w:rsid w:val="66E55C01"/>
    <w:rsid w:val="674F56FC"/>
    <w:rsid w:val="675114E9"/>
    <w:rsid w:val="67575DFA"/>
    <w:rsid w:val="67E55BE7"/>
    <w:rsid w:val="67EB4EC4"/>
    <w:rsid w:val="67FF35A1"/>
    <w:rsid w:val="68AC4478"/>
    <w:rsid w:val="693275D5"/>
    <w:rsid w:val="693750AF"/>
    <w:rsid w:val="694007E2"/>
    <w:rsid w:val="69704611"/>
    <w:rsid w:val="697D08EC"/>
    <w:rsid w:val="69D17F15"/>
    <w:rsid w:val="6A4A6A73"/>
    <w:rsid w:val="6AA75F27"/>
    <w:rsid w:val="6B2F1D60"/>
    <w:rsid w:val="6B32518D"/>
    <w:rsid w:val="6B39132A"/>
    <w:rsid w:val="6B69027B"/>
    <w:rsid w:val="6B6D179C"/>
    <w:rsid w:val="6B6F687F"/>
    <w:rsid w:val="6B930322"/>
    <w:rsid w:val="6BDF5315"/>
    <w:rsid w:val="6BF4333E"/>
    <w:rsid w:val="6C2063E9"/>
    <w:rsid w:val="6C6D0B73"/>
    <w:rsid w:val="6CE64481"/>
    <w:rsid w:val="6CF14B2A"/>
    <w:rsid w:val="6D061BC1"/>
    <w:rsid w:val="6D3D0944"/>
    <w:rsid w:val="6D5E302E"/>
    <w:rsid w:val="6DD56E3A"/>
    <w:rsid w:val="6DDF59A3"/>
    <w:rsid w:val="6E1B64C9"/>
    <w:rsid w:val="6E2D4F2C"/>
    <w:rsid w:val="6E3513CE"/>
    <w:rsid w:val="6E6B1269"/>
    <w:rsid w:val="6E6D1A59"/>
    <w:rsid w:val="6E7D42AE"/>
    <w:rsid w:val="6EB8554B"/>
    <w:rsid w:val="6ED16EC1"/>
    <w:rsid w:val="6EE041D4"/>
    <w:rsid w:val="6EFF171B"/>
    <w:rsid w:val="6F6618A9"/>
    <w:rsid w:val="6F8F6E20"/>
    <w:rsid w:val="6FA17D64"/>
    <w:rsid w:val="6FB865A9"/>
    <w:rsid w:val="700C5989"/>
    <w:rsid w:val="70492992"/>
    <w:rsid w:val="705C141B"/>
    <w:rsid w:val="70871527"/>
    <w:rsid w:val="70DF5679"/>
    <w:rsid w:val="70E87E48"/>
    <w:rsid w:val="70FE5830"/>
    <w:rsid w:val="710E300B"/>
    <w:rsid w:val="71595175"/>
    <w:rsid w:val="715C3F95"/>
    <w:rsid w:val="71623AF2"/>
    <w:rsid w:val="71DB7D3F"/>
    <w:rsid w:val="71DC74D0"/>
    <w:rsid w:val="71FD3516"/>
    <w:rsid w:val="7222093A"/>
    <w:rsid w:val="728F27EB"/>
    <w:rsid w:val="72A67651"/>
    <w:rsid w:val="72EE408F"/>
    <w:rsid w:val="72F800AC"/>
    <w:rsid w:val="737B1F6D"/>
    <w:rsid w:val="73922DA3"/>
    <w:rsid w:val="73A23499"/>
    <w:rsid w:val="73E3796C"/>
    <w:rsid w:val="741D31E9"/>
    <w:rsid w:val="743456A8"/>
    <w:rsid w:val="74463937"/>
    <w:rsid w:val="749326C4"/>
    <w:rsid w:val="749C6FBB"/>
    <w:rsid w:val="754F0BF7"/>
    <w:rsid w:val="755212AF"/>
    <w:rsid w:val="75B11C43"/>
    <w:rsid w:val="75BA2821"/>
    <w:rsid w:val="75BD5639"/>
    <w:rsid w:val="75C3416E"/>
    <w:rsid w:val="763409E0"/>
    <w:rsid w:val="769211D6"/>
    <w:rsid w:val="76F0487A"/>
    <w:rsid w:val="77124074"/>
    <w:rsid w:val="775A3C2A"/>
    <w:rsid w:val="7771323A"/>
    <w:rsid w:val="77B22926"/>
    <w:rsid w:val="77D4277A"/>
    <w:rsid w:val="780236F1"/>
    <w:rsid w:val="780B56E4"/>
    <w:rsid w:val="781D7563"/>
    <w:rsid w:val="78340E89"/>
    <w:rsid w:val="783630A2"/>
    <w:rsid w:val="7863107C"/>
    <w:rsid w:val="78717BA9"/>
    <w:rsid w:val="78882890"/>
    <w:rsid w:val="789A5223"/>
    <w:rsid w:val="78A93807"/>
    <w:rsid w:val="78B17AFC"/>
    <w:rsid w:val="78BB2C66"/>
    <w:rsid w:val="797E1769"/>
    <w:rsid w:val="797E5812"/>
    <w:rsid w:val="79A60F46"/>
    <w:rsid w:val="79DE61BD"/>
    <w:rsid w:val="79FA49B9"/>
    <w:rsid w:val="79FF45EE"/>
    <w:rsid w:val="7A6041B2"/>
    <w:rsid w:val="7A97325F"/>
    <w:rsid w:val="7ABF72FD"/>
    <w:rsid w:val="7AC94ECD"/>
    <w:rsid w:val="7ACF2DEC"/>
    <w:rsid w:val="7AD978E0"/>
    <w:rsid w:val="7B2A7C2F"/>
    <w:rsid w:val="7BB75966"/>
    <w:rsid w:val="7BBC13F5"/>
    <w:rsid w:val="7C075B4D"/>
    <w:rsid w:val="7C324FED"/>
    <w:rsid w:val="7CB35D3D"/>
    <w:rsid w:val="7CE41CD4"/>
    <w:rsid w:val="7CE43A44"/>
    <w:rsid w:val="7D0F22BD"/>
    <w:rsid w:val="7D4B3095"/>
    <w:rsid w:val="7DE877CD"/>
    <w:rsid w:val="7E1213C5"/>
    <w:rsid w:val="7E533822"/>
    <w:rsid w:val="7ECB0EE8"/>
    <w:rsid w:val="7F0058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semiHidden/>
    <w:unhideWhenUsed/>
    <w:qFormat/>
    <w:uiPriority w:val="99"/>
    <w:rPr>
      <w:rFonts w:ascii="宋体" w:eastAsia="宋体"/>
      <w:sz w:val="18"/>
      <w:szCs w:val="18"/>
    </w:rPr>
  </w:style>
  <w:style w:type="paragraph" w:styleId="4">
    <w:name w:val="Date"/>
    <w:basedOn w:val="1"/>
    <w:next w:val="1"/>
    <w:link w:val="23"/>
    <w:semiHidden/>
    <w:unhideWhenUsed/>
    <w:qFormat/>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FollowedHyperlink"/>
    <w:basedOn w:val="12"/>
    <w:semiHidden/>
    <w:unhideWhenUsed/>
    <w:qFormat/>
    <w:uiPriority w:val="99"/>
    <w:rPr>
      <w:color w:val="333333"/>
      <w:u w:val="none"/>
    </w:rPr>
  </w:style>
  <w:style w:type="character" w:styleId="15">
    <w:name w:val="Emphasis"/>
    <w:basedOn w:val="12"/>
    <w:qFormat/>
    <w:uiPriority w:val="20"/>
    <w:rPr>
      <w:i/>
    </w:rPr>
  </w:style>
  <w:style w:type="character" w:styleId="16">
    <w:name w:val="Hyperlink"/>
    <w:basedOn w:val="12"/>
    <w:unhideWhenUsed/>
    <w:qFormat/>
    <w:uiPriority w:val="99"/>
    <w:rPr>
      <w:color w:val="0000FF" w:themeColor="hyperlink"/>
      <w:u w:val="single"/>
      <w14:textFill>
        <w14:solidFill>
          <w14:schemeClr w14:val="hlink"/>
        </w14:solidFill>
      </w14:textFill>
    </w:rPr>
  </w:style>
  <w:style w:type="paragraph" w:styleId="17">
    <w:name w:val="List Paragraph"/>
    <w:basedOn w:val="1"/>
    <w:qFormat/>
    <w:uiPriority w:val="34"/>
    <w:pPr>
      <w:ind w:firstLine="420" w:firstLineChars="200"/>
    </w:pPr>
  </w:style>
  <w:style w:type="character" w:customStyle="1" w:styleId="18">
    <w:name w:val="页眉 Char"/>
    <w:basedOn w:val="12"/>
    <w:link w:val="7"/>
    <w:qFormat/>
    <w:uiPriority w:val="99"/>
    <w:rPr>
      <w:sz w:val="18"/>
      <w:szCs w:val="18"/>
    </w:rPr>
  </w:style>
  <w:style w:type="character" w:customStyle="1" w:styleId="19">
    <w:name w:val="页脚 Char"/>
    <w:basedOn w:val="12"/>
    <w:link w:val="6"/>
    <w:qFormat/>
    <w:uiPriority w:val="99"/>
    <w:rPr>
      <w:sz w:val="18"/>
      <w:szCs w:val="18"/>
    </w:rPr>
  </w:style>
  <w:style w:type="character" w:customStyle="1" w:styleId="20">
    <w:name w:val="标题 1 Char"/>
    <w:basedOn w:val="12"/>
    <w:link w:val="2"/>
    <w:qFormat/>
    <w:uiPriority w:val="9"/>
    <w:rPr>
      <w:b/>
      <w:bCs/>
      <w:kern w:val="44"/>
      <w:sz w:val="44"/>
      <w:szCs w:val="44"/>
    </w:rPr>
  </w:style>
  <w:style w:type="paragraph" w:customStyle="1" w:styleId="2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2">
    <w:name w:val="批注框文本 Char"/>
    <w:basedOn w:val="12"/>
    <w:link w:val="5"/>
    <w:semiHidden/>
    <w:qFormat/>
    <w:uiPriority w:val="99"/>
    <w:rPr>
      <w:sz w:val="18"/>
      <w:szCs w:val="18"/>
    </w:rPr>
  </w:style>
  <w:style w:type="character" w:customStyle="1" w:styleId="23">
    <w:name w:val="日期 Char"/>
    <w:basedOn w:val="12"/>
    <w:link w:val="4"/>
    <w:semiHidden/>
    <w:qFormat/>
    <w:uiPriority w:val="99"/>
  </w:style>
  <w:style w:type="character" w:customStyle="1" w:styleId="24">
    <w:name w:val="文档结构图 Char"/>
    <w:basedOn w:val="12"/>
    <w:link w:val="3"/>
    <w:semiHidden/>
    <w:qFormat/>
    <w:uiPriority w:val="99"/>
    <w:rPr>
      <w:rFonts w:ascii="宋体" w:eastAsia="宋体"/>
      <w:sz w:val="18"/>
      <w:szCs w:val="18"/>
    </w:rPr>
  </w:style>
  <w:style w:type="character" w:customStyle="1" w:styleId="25">
    <w:name w:val="fontstyle01"/>
    <w:basedOn w:val="12"/>
    <w:qFormat/>
    <w:uiPriority w:val="0"/>
    <w:rPr>
      <w:rFonts w:hint="eastAsia" w:ascii="黑体" w:hAnsi="黑体" w:eastAsia="黑体"/>
      <w:color w:val="000000"/>
      <w:sz w:val="44"/>
      <w:szCs w:val="44"/>
    </w:rPr>
  </w:style>
  <w:style w:type="character" w:customStyle="1" w:styleId="26">
    <w:name w:val="fontstyle21"/>
    <w:basedOn w:val="12"/>
    <w:qFormat/>
    <w:uiPriority w:val="0"/>
    <w:rPr>
      <w:rFonts w:hint="eastAsia" w:ascii="仿宋_GB2312" w:eastAsia="仿宋_GB2312"/>
      <w:color w:val="000000"/>
      <w:sz w:val="32"/>
      <w:szCs w:val="32"/>
    </w:rPr>
  </w:style>
  <w:style w:type="character" w:customStyle="1" w:styleId="27">
    <w:name w:val="fontstyle31"/>
    <w:basedOn w:val="12"/>
    <w:qFormat/>
    <w:uiPriority w:val="0"/>
    <w:rPr>
      <w:rFonts w:hint="eastAsia" w:ascii="华文中宋" w:hAnsi="华文中宋" w:eastAsia="华文中宋"/>
      <w:color w:val="FF0000"/>
      <w:sz w:val="100"/>
      <w:szCs w:val="100"/>
    </w:rPr>
  </w:style>
  <w:style w:type="character" w:customStyle="1" w:styleId="28">
    <w:name w:val="fontstyle41"/>
    <w:basedOn w:val="12"/>
    <w:qFormat/>
    <w:uiPriority w:val="0"/>
    <w:rPr>
      <w:rFonts w:hint="eastAsia" w:ascii="宋体" w:hAnsi="宋体" w:eastAsia="宋体"/>
      <w:color w:val="000000"/>
      <w:sz w:val="28"/>
      <w:szCs w:val="28"/>
    </w:rPr>
  </w:style>
  <w:style w:type="character" w:customStyle="1" w:styleId="29">
    <w:name w:val="font01"/>
    <w:basedOn w:val="12"/>
    <w:qFormat/>
    <w:uiPriority w:val="0"/>
    <w:rPr>
      <w:rFonts w:hint="default" w:ascii="Times New Roman" w:hAnsi="Times New Roman" w:cs="Times New Roman"/>
      <w:color w:val="000000"/>
      <w:sz w:val="24"/>
      <w:szCs w:val="24"/>
      <w:u w:val="none"/>
    </w:rPr>
  </w:style>
  <w:style w:type="character" w:customStyle="1" w:styleId="30">
    <w:name w:val="font31"/>
    <w:basedOn w:val="12"/>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4EC01-BD63-4C86-ACE8-65FC6191D5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4824</Words>
  <Characters>5112</Characters>
  <Lines>34</Lines>
  <Paragraphs>9</Paragraphs>
  <TotalTime>188</TotalTime>
  <ScaleCrop>false</ScaleCrop>
  <LinksUpToDate>false</LinksUpToDate>
  <CharactersWithSpaces>5199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2017-12-25T01:51:00Z</dcterms:created>
  <dc:creator>null</dc:creator>
  <cp:lastModifiedBy>西风</cp:lastModifiedBy>
  <cp:lastPrinted>2023-03-01T03:05:00Z</cp:lastPrinted>
  <dcterms:modified xsi:type="dcterms:W3CDTF">2023-04-21T08:50:05Z</dcterms:modified>
  <cp:revision>347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92FA4C5D90FA4C6687EEEBAF5E2A8CDF_13</vt:lpwstr>
  </property>
</Properties>
</file>